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08" w:rsidRDefault="007F2908">
      <w:r>
        <w:rPr>
          <w:noProof/>
        </w:rPr>
        <mc:AlternateContent>
          <mc:Choice Requires="wps">
            <w:drawing>
              <wp:anchor distT="0" distB="0" distL="114300" distR="114300" simplePos="0" relativeHeight="251658240" behindDoc="0" locked="0" layoutInCell="1" allowOverlap="1" wp14:anchorId="46D7DA60" wp14:editId="61E181F8">
                <wp:simplePos x="0" y="0"/>
                <wp:positionH relativeFrom="column">
                  <wp:posOffset>2162175</wp:posOffset>
                </wp:positionH>
                <wp:positionV relativeFrom="paragraph">
                  <wp:posOffset>123825</wp:posOffset>
                </wp:positionV>
                <wp:extent cx="3543300" cy="1781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16E" w:rsidRPr="0099068E" w:rsidRDefault="00E0416E" w:rsidP="007F2908">
                            <w:pPr>
                              <w:jc w:val="center"/>
                              <w:rPr>
                                <w:rStyle w:val="Emphasis"/>
                                <w:rFonts w:ascii="Calibri" w:hAnsi="Calibri"/>
                                <w:b/>
                                <w:i w:val="0"/>
                                <w:iCs w:val="0"/>
                                <w:sz w:val="36"/>
                                <w:szCs w:val="36"/>
                              </w:rPr>
                            </w:pPr>
                            <w:r w:rsidRPr="0099068E">
                              <w:rPr>
                                <w:rFonts w:ascii="Calibri" w:hAnsi="Calibri"/>
                                <w:b/>
                                <w:sz w:val="36"/>
                                <w:szCs w:val="36"/>
                              </w:rPr>
                              <w:t>Transition Guide</w:t>
                            </w:r>
                          </w:p>
                          <w:p w:rsidR="00E0416E" w:rsidRPr="00C15C16" w:rsidRDefault="00E0416E" w:rsidP="007F2908">
                            <w:pPr>
                              <w:jc w:val="center"/>
                              <w:rPr>
                                <w:rStyle w:val="Emphasis"/>
                                <w:rFonts w:ascii="Calibri" w:hAnsi="Calibri"/>
                                <w:b/>
                                <w:bCs/>
                                <w:i w:val="0"/>
                                <w:color w:val="000000"/>
                                <w:sz w:val="32"/>
                                <w:szCs w:val="32"/>
                              </w:rPr>
                            </w:pPr>
                            <w:r>
                              <w:rPr>
                                <w:rStyle w:val="Emphasis"/>
                                <w:rFonts w:ascii="Calibri" w:hAnsi="Calibri"/>
                                <w:b/>
                                <w:bCs/>
                                <w:i w:val="0"/>
                                <w:color w:val="000000"/>
                                <w:sz w:val="32"/>
                                <w:szCs w:val="32"/>
                              </w:rPr>
                              <w:br/>
                            </w:r>
                            <w:r w:rsidR="00052318" w:rsidRPr="00052318">
                              <w:rPr>
                                <w:rStyle w:val="Emphasis"/>
                                <w:rFonts w:ascii="Calibri" w:hAnsi="Calibri"/>
                                <w:b/>
                                <w:bCs/>
                                <w:i w:val="0"/>
                                <w:color w:val="000000"/>
                                <w:sz w:val="32"/>
                                <w:szCs w:val="32"/>
                              </w:rPr>
                              <w:t>An Introduction to Human Disease: Pathology and Pathophysiology Correlations</w:t>
                            </w:r>
                            <w:r w:rsidRPr="00AC0A61">
                              <w:rPr>
                                <w:rStyle w:val="Emphasis"/>
                                <w:rFonts w:ascii="Calibri" w:hAnsi="Calibri"/>
                                <w:b/>
                                <w:bCs/>
                                <w:i w:val="0"/>
                                <w:color w:val="000000"/>
                                <w:sz w:val="32"/>
                                <w:szCs w:val="32"/>
                              </w:rPr>
                              <w:t xml:space="preserve">, </w:t>
                            </w:r>
                            <w:r w:rsidR="00052318">
                              <w:rPr>
                                <w:rStyle w:val="Emphasis"/>
                                <w:rFonts w:ascii="Calibri" w:hAnsi="Calibri"/>
                                <w:b/>
                                <w:bCs/>
                                <w:i w:val="0"/>
                                <w:color w:val="000000"/>
                                <w:sz w:val="32"/>
                                <w:szCs w:val="32"/>
                              </w:rPr>
                              <w:t>Ninth</w:t>
                            </w:r>
                            <w:r w:rsidRPr="00AC0A61">
                              <w:rPr>
                                <w:rStyle w:val="Emphasis"/>
                                <w:rFonts w:ascii="Calibri" w:hAnsi="Calibri"/>
                                <w:b/>
                                <w:bCs/>
                                <w:i w:val="0"/>
                                <w:color w:val="000000"/>
                                <w:sz w:val="32"/>
                                <w:szCs w:val="32"/>
                              </w:rPr>
                              <w:t xml:space="preserve"> Edition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25pt;margin-top:9.75pt;width:279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S2sw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" filled="f" stroked="f">
                <v:textbox>
                  <w:txbxContent>
                    <w:p w:rsidR="00E0416E" w:rsidRPr="0099068E" w:rsidRDefault="00E0416E" w:rsidP="007F2908">
                      <w:pPr>
                        <w:jc w:val="center"/>
                        <w:rPr>
                          <w:rStyle w:val="Emphasis"/>
                          <w:rFonts w:ascii="Calibri" w:hAnsi="Calibri"/>
                          <w:b/>
                          <w:i w:val="0"/>
                          <w:iCs w:val="0"/>
                          <w:sz w:val="36"/>
                          <w:szCs w:val="36"/>
                        </w:rPr>
                      </w:pPr>
                      <w:r w:rsidRPr="0099068E">
                        <w:rPr>
                          <w:rFonts w:ascii="Calibri" w:hAnsi="Calibri"/>
                          <w:b/>
                          <w:sz w:val="36"/>
                          <w:szCs w:val="36"/>
                        </w:rPr>
                        <w:t>Transition Guide</w:t>
                      </w:r>
                    </w:p>
                    <w:p w:rsidR="00E0416E" w:rsidRPr="00C15C16" w:rsidRDefault="00E0416E" w:rsidP="007F2908">
                      <w:pPr>
                        <w:jc w:val="center"/>
                        <w:rPr>
                          <w:rStyle w:val="Emphasis"/>
                          <w:rFonts w:ascii="Calibri" w:hAnsi="Calibri"/>
                          <w:b/>
                          <w:bCs/>
                          <w:i w:val="0"/>
                          <w:color w:val="000000"/>
                          <w:sz w:val="32"/>
                          <w:szCs w:val="32"/>
                        </w:rPr>
                      </w:pPr>
                      <w:r>
                        <w:rPr>
                          <w:rStyle w:val="Emphasis"/>
                          <w:rFonts w:ascii="Calibri" w:hAnsi="Calibri"/>
                          <w:b/>
                          <w:bCs/>
                          <w:i w:val="0"/>
                          <w:color w:val="000000"/>
                          <w:sz w:val="32"/>
                          <w:szCs w:val="32"/>
                        </w:rPr>
                        <w:br/>
                      </w:r>
                      <w:r w:rsidR="00052318" w:rsidRPr="00052318">
                        <w:rPr>
                          <w:rStyle w:val="Emphasis"/>
                          <w:rFonts w:ascii="Calibri" w:hAnsi="Calibri"/>
                          <w:b/>
                          <w:bCs/>
                          <w:i w:val="0"/>
                          <w:color w:val="000000"/>
                          <w:sz w:val="32"/>
                          <w:szCs w:val="32"/>
                        </w:rPr>
                        <w:t>An Introduction to Human Disease: Pathology and Pathophysiology Correlations</w:t>
                      </w:r>
                      <w:r w:rsidRPr="00AC0A61">
                        <w:rPr>
                          <w:rStyle w:val="Emphasis"/>
                          <w:rFonts w:ascii="Calibri" w:hAnsi="Calibri"/>
                          <w:b/>
                          <w:bCs/>
                          <w:i w:val="0"/>
                          <w:color w:val="000000"/>
                          <w:sz w:val="32"/>
                          <w:szCs w:val="32"/>
                        </w:rPr>
                        <w:t xml:space="preserve">, </w:t>
                      </w:r>
                      <w:r w:rsidR="00052318">
                        <w:rPr>
                          <w:rStyle w:val="Emphasis"/>
                          <w:rFonts w:ascii="Calibri" w:hAnsi="Calibri"/>
                          <w:b/>
                          <w:bCs/>
                          <w:i w:val="0"/>
                          <w:color w:val="000000"/>
                          <w:sz w:val="32"/>
                          <w:szCs w:val="32"/>
                        </w:rPr>
                        <w:t>Ninth</w:t>
                      </w:r>
                      <w:r w:rsidRPr="00AC0A61">
                        <w:rPr>
                          <w:rStyle w:val="Emphasis"/>
                          <w:rFonts w:ascii="Calibri" w:hAnsi="Calibri"/>
                          <w:b/>
                          <w:bCs/>
                          <w:i w:val="0"/>
                          <w:color w:val="000000"/>
                          <w:sz w:val="32"/>
                          <w:szCs w:val="32"/>
                        </w:rPr>
                        <w:t xml:space="preserve"> Edition</w:t>
                      </w:r>
                    </w:p>
                  </w:txbxContent>
                </v:textbox>
              </v:shape>
            </w:pict>
          </mc:Fallback>
        </mc:AlternateContent>
      </w:r>
      <w:r w:rsidR="00052318" w:rsidRPr="00052318">
        <w:rPr>
          <w:noProof/>
        </w:rPr>
        <w:t xml:space="preserve"> </w:t>
      </w:r>
      <w:r w:rsidR="00052318">
        <w:rPr>
          <w:noProof/>
        </w:rPr>
        <w:drawing>
          <wp:inline distT="0" distB="0" distL="0" distR="0" wp14:anchorId="284546ED" wp14:editId="22BD14BD">
            <wp:extent cx="1838325" cy="2352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8325" cy="2352675"/>
                    </a:xfrm>
                    <a:prstGeom prst="rect">
                      <a:avLst/>
                    </a:prstGeom>
                  </pic:spPr>
                </pic:pic>
              </a:graphicData>
            </a:graphic>
          </wp:inline>
        </w:drawing>
      </w:r>
    </w:p>
    <w:p w:rsidR="007F2908" w:rsidRDefault="00052318" w:rsidP="007F2908">
      <w:pPr>
        <w:jc w:val="center"/>
      </w:pPr>
      <w:r>
        <w:rPr>
          <w:rFonts w:ascii="Calibri" w:hAnsi="Calibri"/>
        </w:rPr>
        <w:t>Leonard Crowley, MD</w:t>
      </w:r>
      <w:r w:rsidR="007F2908" w:rsidRPr="0099068E">
        <w:rPr>
          <w:rFonts w:ascii="Calibri" w:hAnsi="Calibri"/>
        </w:rPr>
        <w:br/>
        <w:t xml:space="preserve">ISBN-13: </w:t>
      </w:r>
      <w:r w:rsidRPr="00052318">
        <w:rPr>
          <w:rFonts w:ascii="Calibri" w:hAnsi="Calibri"/>
        </w:rPr>
        <w:t>978</w:t>
      </w:r>
      <w:r>
        <w:rPr>
          <w:rFonts w:ascii="Calibri" w:hAnsi="Calibri"/>
        </w:rPr>
        <w:t>-</w:t>
      </w:r>
      <w:r w:rsidRPr="00052318">
        <w:rPr>
          <w:rFonts w:ascii="Calibri" w:hAnsi="Calibri"/>
        </w:rPr>
        <w:t>1</w:t>
      </w:r>
      <w:r>
        <w:rPr>
          <w:rFonts w:ascii="Calibri" w:hAnsi="Calibri"/>
        </w:rPr>
        <w:t>-</w:t>
      </w:r>
      <w:r w:rsidRPr="00052318">
        <w:rPr>
          <w:rFonts w:ascii="Calibri" w:hAnsi="Calibri"/>
        </w:rPr>
        <w:t>4496</w:t>
      </w:r>
      <w:r>
        <w:rPr>
          <w:rFonts w:ascii="Calibri" w:hAnsi="Calibri"/>
        </w:rPr>
        <w:t>-</w:t>
      </w:r>
      <w:r w:rsidRPr="00052318">
        <w:rPr>
          <w:rFonts w:ascii="Calibri" w:hAnsi="Calibri"/>
        </w:rPr>
        <w:t>6559</w:t>
      </w:r>
      <w:r>
        <w:rPr>
          <w:rFonts w:ascii="Calibri" w:hAnsi="Calibri"/>
        </w:rPr>
        <w:t>-</w:t>
      </w:r>
      <w:r w:rsidRPr="00052318">
        <w:rPr>
          <w:rFonts w:ascii="Calibri" w:hAnsi="Calibri"/>
        </w:rPr>
        <w:t>3</w:t>
      </w:r>
      <w:r>
        <w:rPr>
          <w:rFonts w:ascii="Calibri" w:hAnsi="Calibri"/>
        </w:rPr>
        <w:t xml:space="preserve"> • Hardcover</w:t>
      </w:r>
      <w:r w:rsidR="007F2908" w:rsidRPr="0099068E">
        <w:rPr>
          <w:rFonts w:ascii="Calibri" w:hAnsi="Calibri"/>
        </w:rPr>
        <w:t xml:space="preserve"> • </w:t>
      </w:r>
      <w:r>
        <w:rPr>
          <w:rFonts w:ascii="Calibri" w:hAnsi="Calibri"/>
        </w:rPr>
        <w:t>870</w:t>
      </w:r>
      <w:r w:rsidR="007F2908">
        <w:rPr>
          <w:rFonts w:ascii="Calibri" w:hAnsi="Calibri"/>
        </w:rPr>
        <w:t xml:space="preserve"> Pages • ©2013</w:t>
      </w:r>
    </w:p>
    <w:p w:rsidR="00AC0A61" w:rsidRPr="00517DC9" w:rsidRDefault="00AC0A61" w:rsidP="00AC0A61">
      <w:pPr>
        <w:rPr>
          <w:rFonts w:ascii="Calibri" w:hAnsi="Calibri"/>
        </w:rPr>
      </w:pPr>
      <w:r w:rsidRPr="00517DC9">
        <w:rPr>
          <w:rFonts w:ascii="Calibri" w:hAnsi="Calibri"/>
          <w:b/>
        </w:rPr>
        <w:t>Major Chapter Changes</w:t>
      </w:r>
    </w:p>
    <w:p w:rsidR="008C66D4" w:rsidRDefault="008C66D4" w:rsidP="008C66D4">
      <w:pPr>
        <w:pStyle w:val="ListParagraph"/>
        <w:numPr>
          <w:ilvl w:val="0"/>
          <w:numId w:val="32"/>
        </w:numPr>
        <w:spacing w:after="240" w:line="480" w:lineRule="auto"/>
      </w:pPr>
      <w:r>
        <w:t>Chapter 1 contains additional material on the applications and limitations of PET scans.</w:t>
      </w:r>
    </w:p>
    <w:p w:rsidR="008C66D4" w:rsidRDefault="008C66D4" w:rsidP="008C66D4">
      <w:pPr>
        <w:pStyle w:val="ListParagraph"/>
        <w:numPr>
          <w:ilvl w:val="0"/>
          <w:numId w:val="32"/>
        </w:numPr>
        <w:spacing w:after="240" w:line="480" w:lineRule="auto"/>
      </w:pPr>
      <w:r>
        <w:t>Chapter 2 describes the role of microRNA and how it regulates gene functions.</w:t>
      </w:r>
    </w:p>
    <w:p w:rsidR="008C66D4" w:rsidRDefault="008C66D4" w:rsidP="008C66D4">
      <w:pPr>
        <w:pStyle w:val="ListParagraph"/>
        <w:numPr>
          <w:ilvl w:val="0"/>
          <w:numId w:val="32"/>
        </w:numPr>
        <w:spacing w:after="240" w:line="480" w:lineRule="auto"/>
      </w:pPr>
      <w:r>
        <w:t>Chapter 5 contains new material on lupus erythematosus and scleroderma and also includes two new photographs.</w:t>
      </w:r>
    </w:p>
    <w:p w:rsidR="008C66D4" w:rsidRDefault="008C66D4" w:rsidP="008C66D4">
      <w:pPr>
        <w:pStyle w:val="ListParagraph"/>
        <w:numPr>
          <w:ilvl w:val="0"/>
          <w:numId w:val="32"/>
        </w:numPr>
        <w:spacing w:after="240" w:line="480" w:lineRule="auto"/>
      </w:pPr>
      <w:r>
        <w:t>Chapter 6 has expanded material on herpes zoster (shingles) and the vaccine to prevent it.</w:t>
      </w:r>
    </w:p>
    <w:p w:rsidR="008C66D4" w:rsidRDefault="008C66D4" w:rsidP="008C66D4">
      <w:pPr>
        <w:pStyle w:val="ListParagraph"/>
        <w:numPr>
          <w:ilvl w:val="0"/>
          <w:numId w:val="32"/>
        </w:numPr>
        <w:spacing w:after="240" w:line="480" w:lineRule="auto"/>
      </w:pPr>
      <w:r>
        <w:t>Chapter 7 deals with Pneumocystis jiroveci, which now is classified as a fungus.</w:t>
      </w:r>
    </w:p>
    <w:p w:rsidR="008C66D4" w:rsidRDefault="008C66D4" w:rsidP="008C66D4">
      <w:pPr>
        <w:pStyle w:val="ListParagraph"/>
        <w:numPr>
          <w:ilvl w:val="0"/>
          <w:numId w:val="32"/>
        </w:numPr>
        <w:spacing w:after="240" w:line="480" w:lineRule="auto"/>
      </w:pPr>
      <w:r>
        <w:t>Chapter 8 contains updated material on HIV, including recommendations for early treatment to prevent damage to the immune system and to help prevent the spread of HIV to contacts.</w:t>
      </w:r>
    </w:p>
    <w:p w:rsidR="008C66D4" w:rsidRDefault="008C66D4" w:rsidP="008C66D4">
      <w:pPr>
        <w:pStyle w:val="ListParagraph"/>
        <w:numPr>
          <w:ilvl w:val="0"/>
          <w:numId w:val="32"/>
        </w:numPr>
        <w:spacing w:after="240" w:line="480" w:lineRule="auto"/>
      </w:pPr>
      <w:r>
        <w:t>Chapter 9 explains that prenatal tests for Down syndrome now are offered to all women, not just older women. The tests are described, along with their applications and limitations.</w:t>
      </w:r>
    </w:p>
    <w:p w:rsidR="008C66D4" w:rsidRDefault="008C66D4" w:rsidP="008C66D4">
      <w:pPr>
        <w:pStyle w:val="ListParagraph"/>
        <w:numPr>
          <w:ilvl w:val="0"/>
          <w:numId w:val="32"/>
        </w:numPr>
        <w:spacing w:after="240" w:line="480" w:lineRule="auto"/>
      </w:pPr>
      <w:r>
        <w:t>Chapter 10 describes new less-aggressive treatment of Hodgkin disease and other neoplastic diseases affecting the bone marrow to reduce the risk of later therapy-related complications.</w:t>
      </w:r>
    </w:p>
    <w:p w:rsidR="008C66D4" w:rsidRDefault="008C66D4" w:rsidP="008C66D4">
      <w:pPr>
        <w:pStyle w:val="ListParagraph"/>
        <w:numPr>
          <w:ilvl w:val="0"/>
          <w:numId w:val="32"/>
        </w:numPr>
        <w:spacing w:after="240" w:line="480" w:lineRule="auto"/>
      </w:pPr>
      <w:r>
        <w:t>Chapters 11 and 12 explains how new anticoagulant drugs offer treatment advantages over Warfarin. The d-dimer test helps diagnose a pulmonary embolism.</w:t>
      </w:r>
    </w:p>
    <w:p w:rsidR="008C66D4" w:rsidRDefault="008C66D4" w:rsidP="008C66D4">
      <w:pPr>
        <w:pStyle w:val="ListParagraph"/>
        <w:numPr>
          <w:ilvl w:val="0"/>
          <w:numId w:val="32"/>
        </w:numPr>
        <w:spacing w:after="240" w:line="480" w:lineRule="auto"/>
      </w:pPr>
      <w:r>
        <w:lastRenderedPageBreak/>
        <w:t>Chapter 13 contains an expanded section on artificial heart valves, with several new photographs, and describes new methods of valve replacement. Treatment of acute coronary syndromes is updated, along with case studies.</w:t>
      </w:r>
    </w:p>
    <w:p w:rsidR="008C66D4" w:rsidRDefault="008C66D4" w:rsidP="008C66D4">
      <w:pPr>
        <w:pStyle w:val="ListParagraph"/>
        <w:numPr>
          <w:ilvl w:val="0"/>
          <w:numId w:val="32"/>
        </w:numPr>
        <w:spacing w:after="240" w:line="480" w:lineRule="auto"/>
      </w:pPr>
      <w:r>
        <w:t>Chapter 14 provides a new section on oxygen transport by hemoglobin, along with an expanded section on problems related to sickle cell trait. Immunosuppression of the bone marrow before marrow transplant is less aggressive and yields better results.</w:t>
      </w:r>
    </w:p>
    <w:p w:rsidR="008C66D4" w:rsidRDefault="008C66D4" w:rsidP="008C66D4">
      <w:pPr>
        <w:pStyle w:val="ListParagraph"/>
        <w:numPr>
          <w:ilvl w:val="0"/>
          <w:numId w:val="32"/>
        </w:numPr>
        <w:spacing w:after="240" w:line="480" w:lineRule="auto"/>
      </w:pPr>
      <w:r>
        <w:t>Chapter 15 contains an augmented chest CT screening test for lung carcinoma that permits earlier detection and improves survival but is more expensive and also yields false-positive results.</w:t>
      </w:r>
    </w:p>
    <w:p w:rsidR="008C66D4" w:rsidRDefault="008C66D4" w:rsidP="008C66D4">
      <w:pPr>
        <w:pStyle w:val="ListParagraph"/>
        <w:numPr>
          <w:ilvl w:val="0"/>
          <w:numId w:val="32"/>
        </w:numPr>
        <w:spacing w:after="240" w:line="480" w:lineRule="auto"/>
      </w:pPr>
      <w:r>
        <w:t>Chapter 16 contains updated material on the harmful effects of estrogen-progestin on breast cancer risk, and risk-reduction surgery for BRCA-positive women is discussed.</w:t>
      </w:r>
    </w:p>
    <w:p w:rsidR="008C66D4" w:rsidRDefault="008C66D4" w:rsidP="008C66D4">
      <w:pPr>
        <w:pStyle w:val="ListParagraph"/>
        <w:numPr>
          <w:ilvl w:val="0"/>
          <w:numId w:val="32"/>
        </w:numPr>
        <w:spacing w:after="240" w:line="480" w:lineRule="auto"/>
      </w:pPr>
      <w:r>
        <w:t>Chapter 17 discusses the role of PAP smears and tests for HPV infection. A new post-coital contraceptive is available.</w:t>
      </w:r>
    </w:p>
    <w:p w:rsidR="008C66D4" w:rsidRDefault="008C66D4" w:rsidP="008C66D4">
      <w:pPr>
        <w:pStyle w:val="ListParagraph"/>
        <w:numPr>
          <w:ilvl w:val="0"/>
          <w:numId w:val="32"/>
        </w:numPr>
        <w:spacing w:after="240" w:line="480" w:lineRule="auto"/>
      </w:pPr>
      <w:r>
        <w:t>Chapter 18 provides additional material on twin-to-twin transfusion.</w:t>
      </w:r>
    </w:p>
    <w:p w:rsidR="008C66D4" w:rsidRDefault="008C66D4" w:rsidP="008C66D4">
      <w:pPr>
        <w:pStyle w:val="ListParagraph"/>
        <w:numPr>
          <w:ilvl w:val="0"/>
          <w:numId w:val="32"/>
        </w:numPr>
        <w:spacing w:after="240" w:line="480" w:lineRule="auto"/>
      </w:pPr>
      <w:r>
        <w:t>Chapters 19 and 20 describe the risks and benefits of kidney transplantation, with emphasis on new approaches that reduce the need for continuous immunosuppression. Treatment of prostatic carcinoma on young and elderly men is described. Nephrectomy is not always necessary when treating kidney carcinoma.</w:t>
      </w:r>
    </w:p>
    <w:p w:rsidR="008C66D4" w:rsidRDefault="008C66D4" w:rsidP="008C66D4">
      <w:pPr>
        <w:pStyle w:val="ListParagraph"/>
        <w:numPr>
          <w:ilvl w:val="0"/>
          <w:numId w:val="32"/>
        </w:numPr>
        <w:spacing w:after="240" w:line="480" w:lineRule="auto"/>
      </w:pPr>
      <w:r>
        <w:t>Chapter 21 describes non-alcohol–related fatty liver and cirrhosis. New treatment for hepatitis C improves results.</w:t>
      </w:r>
    </w:p>
    <w:p w:rsidR="008C66D4" w:rsidRDefault="008C66D4" w:rsidP="008C66D4">
      <w:pPr>
        <w:pStyle w:val="ListParagraph"/>
        <w:numPr>
          <w:ilvl w:val="0"/>
          <w:numId w:val="32"/>
        </w:numPr>
        <w:spacing w:after="240" w:line="480" w:lineRule="auto"/>
      </w:pPr>
      <w:r>
        <w:t>Chapter 22 contains expanded sections on diabetes, pre-diabetes, and treatment.</w:t>
      </w:r>
    </w:p>
    <w:p w:rsidR="008C66D4" w:rsidRDefault="008C66D4" w:rsidP="008C66D4">
      <w:pPr>
        <w:pStyle w:val="ListParagraph"/>
        <w:numPr>
          <w:ilvl w:val="0"/>
          <w:numId w:val="32"/>
        </w:numPr>
        <w:spacing w:after="240" w:line="480" w:lineRule="auto"/>
      </w:pPr>
      <w:r>
        <w:t>Chapter 23 contains additional sections on GI tract foreign bodies, with case studies and photographs. The section on eating disorders has been updated and expanded. Gluten enteropathy is considered, and new photographs have been added.</w:t>
      </w:r>
    </w:p>
    <w:p w:rsidR="008C66D4" w:rsidRDefault="008C66D4" w:rsidP="008C66D4">
      <w:pPr>
        <w:pStyle w:val="ListParagraph"/>
        <w:numPr>
          <w:ilvl w:val="0"/>
          <w:numId w:val="32"/>
        </w:numPr>
        <w:spacing w:after="240" w:line="480" w:lineRule="auto"/>
      </w:pPr>
      <w:r>
        <w:lastRenderedPageBreak/>
        <w:t>Chapter 26 contains additional material on prenatal intrauterine treatment of meningomyelocele.</w:t>
      </w:r>
    </w:p>
    <w:p w:rsidR="008C66D4" w:rsidRDefault="008C66D4" w:rsidP="008C66D4">
      <w:pPr>
        <w:pStyle w:val="ListParagraph"/>
        <w:numPr>
          <w:ilvl w:val="0"/>
          <w:numId w:val="32"/>
        </w:numPr>
        <w:spacing w:after="240" w:line="480" w:lineRule="auto"/>
      </w:pPr>
      <w:r>
        <w:t>Chapter 27 provides and expanded sec</w:t>
      </w:r>
      <w:r w:rsidR="0074382D">
        <w:t>tion on osteogenesis imperfecta</w:t>
      </w:r>
      <w:bookmarkStart w:id="0" w:name="_GoBack"/>
      <w:bookmarkEnd w:id="0"/>
      <w:r>
        <w:t xml:space="preserve"> and a new photograph has been added. A new section on pectus excavatum with two photographs and its effect on cardiopulmonary function has been added, along with new material on Marfan syndrome and its relationship to pectus excavatum.</w:t>
      </w:r>
    </w:p>
    <w:p w:rsidR="004250CF" w:rsidRDefault="004250CF" w:rsidP="00E77D7A">
      <w:pPr>
        <w:rPr>
          <w:rFonts w:ascii="Calibri" w:hAnsi="Calibri"/>
          <w:u w:val="single"/>
        </w:rPr>
      </w:pPr>
    </w:p>
    <w:sectPr w:rsidR="0042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435"/>
    <w:multiLevelType w:val="hybridMultilevel"/>
    <w:tmpl w:val="DE063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E0263"/>
    <w:multiLevelType w:val="hybridMultilevel"/>
    <w:tmpl w:val="1BF628C6"/>
    <w:lvl w:ilvl="0" w:tplc="408E18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570DE"/>
    <w:multiLevelType w:val="hybridMultilevel"/>
    <w:tmpl w:val="AD7C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64CD9"/>
    <w:multiLevelType w:val="hybridMultilevel"/>
    <w:tmpl w:val="CC682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CD5091"/>
    <w:multiLevelType w:val="hybridMultilevel"/>
    <w:tmpl w:val="FFC6F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130BE"/>
    <w:multiLevelType w:val="hybridMultilevel"/>
    <w:tmpl w:val="DF3450F6"/>
    <w:lvl w:ilvl="0" w:tplc="BD7A7F8E">
      <w:start w:val="1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D4B78"/>
    <w:multiLevelType w:val="hybridMultilevel"/>
    <w:tmpl w:val="8DA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0158A"/>
    <w:multiLevelType w:val="hybridMultilevel"/>
    <w:tmpl w:val="DFDC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C3AB2"/>
    <w:multiLevelType w:val="hybridMultilevel"/>
    <w:tmpl w:val="E438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30C2B"/>
    <w:multiLevelType w:val="hybridMultilevel"/>
    <w:tmpl w:val="ED68757E"/>
    <w:lvl w:ilvl="0" w:tplc="282ECB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B1119"/>
    <w:multiLevelType w:val="hybridMultilevel"/>
    <w:tmpl w:val="BAFE4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980EBF"/>
    <w:multiLevelType w:val="hybridMultilevel"/>
    <w:tmpl w:val="DB6C6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BD101B"/>
    <w:multiLevelType w:val="hybridMultilevel"/>
    <w:tmpl w:val="14682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17587"/>
    <w:multiLevelType w:val="hybridMultilevel"/>
    <w:tmpl w:val="1BF4A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39638A"/>
    <w:multiLevelType w:val="hybridMultilevel"/>
    <w:tmpl w:val="286A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E5F67"/>
    <w:multiLevelType w:val="hybridMultilevel"/>
    <w:tmpl w:val="6D06F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951B4A"/>
    <w:multiLevelType w:val="hybridMultilevel"/>
    <w:tmpl w:val="53AC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020DB"/>
    <w:multiLevelType w:val="hybridMultilevel"/>
    <w:tmpl w:val="50EAA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83F37"/>
    <w:multiLevelType w:val="hybridMultilevel"/>
    <w:tmpl w:val="E4D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F531E"/>
    <w:multiLevelType w:val="hybridMultilevel"/>
    <w:tmpl w:val="D13EE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76D5620"/>
    <w:multiLevelType w:val="hybridMultilevel"/>
    <w:tmpl w:val="9E26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74EF4"/>
    <w:multiLevelType w:val="hybridMultilevel"/>
    <w:tmpl w:val="4A921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0123D6"/>
    <w:multiLevelType w:val="hybridMultilevel"/>
    <w:tmpl w:val="FE6AB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3C1007"/>
    <w:multiLevelType w:val="hybridMultilevel"/>
    <w:tmpl w:val="FCD07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A01F5"/>
    <w:multiLevelType w:val="hybridMultilevel"/>
    <w:tmpl w:val="15129224"/>
    <w:lvl w:ilvl="0" w:tplc="740091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F379E"/>
    <w:multiLevelType w:val="hybridMultilevel"/>
    <w:tmpl w:val="BE68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D72FB"/>
    <w:multiLevelType w:val="hybridMultilevel"/>
    <w:tmpl w:val="B1628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6B514A"/>
    <w:multiLevelType w:val="hybridMultilevel"/>
    <w:tmpl w:val="B00AE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4C6697"/>
    <w:multiLevelType w:val="hybridMultilevel"/>
    <w:tmpl w:val="F576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64D28"/>
    <w:multiLevelType w:val="hybridMultilevel"/>
    <w:tmpl w:val="6C0EB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A100E0"/>
    <w:multiLevelType w:val="hybridMultilevel"/>
    <w:tmpl w:val="99DC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D77AB"/>
    <w:multiLevelType w:val="hybridMultilevel"/>
    <w:tmpl w:val="41E8B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7"/>
  </w:num>
  <w:num w:numId="4">
    <w:abstractNumId w:val="16"/>
  </w:num>
  <w:num w:numId="5">
    <w:abstractNumId w:val="21"/>
  </w:num>
  <w:num w:numId="6">
    <w:abstractNumId w:val="27"/>
  </w:num>
  <w:num w:numId="7">
    <w:abstractNumId w:val="15"/>
  </w:num>
  <w:num w:numId="8">
    <w:abstractNumId w:val="10"/>
  </w:num>
  <w:num w:numId="9">
    <w:abstractNumId w:val="0"/>
  </w:num>
  <w:num w:numId="10">
    <w:abstractNumId w:val="3"/>
  </w:num>
  <w:num w:numId="11">
    <w:abstractNumId w:val="29"/>
  </w:num>
  <w:num w:numId="12">
    <w:abstractNumId w:val="26"/>
  </w:num>
  <w:num w:numId="13">
    <w:abstractNumId w:val="19"/>
  </w:num>
  <w:num w:numId="14">
    <w:abstractNumId w:val="6"/>
  </w:num>
  <w:num w:numId="15">
    <w:abstractNumId w:val="28"/>
  </w:num>
  <w:num w:numId="16">
    <w:abstractNumId w:val="23"/>
  </w:num>
  <w:num w:numId="17">
    <w:abstractNumId w:val="30"/>
  </w:num>
  <w:num w:numId="18">
    <w:abstractNumId w:val="2"/>
  </w:num>
  <w:num w:numId="19">
    <w:abstractNumId w:val="20"/>
  </w:num>
  <w:num w:numId="20">
    <w:abstractNumId w:val="4"/>
  </w:num>
  <w:num w:numId="21">
    <w:abstractNumId w:val="25"/>
  </w:num>
  <w:num w:numId="22">
    <w:abstractNumId w:val="14"/>
  </w:num>
  <w:num w:numId="23">
    <w:abstractNumId w:val="8"/>
  </w:num>
  <w:num w:numId="24">
    <w:abstractNumId w:val="12"/>
  </w:num>
  <w:num w:numId="25">
    <w:abstractNumId w:val="18"/>
  </w:num>
  <w:num w:numId="26">
    <w:abstractNumId w:val="7"/>
  </w:num>
  <w:num w:numId="27">
    <w:abstractNumId w:val="9"/>
  </w:num>
  <w:num w:numId="28">
    <w:abstractNumId w:val="13"/>
  </w:num>
  <w:num w:numId="29">
    <w:abstractNumId w:val="22"/>
  </w:num>
  <w:num w:numId="30">
    <w:abstractNumId w:val="31"/>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5B"/>
    <w:rsid w:val="00010884"/>
    <w:rsid w:val="00052318"/>
    <w:rsid w:val="000A4EA6"/>
    <w:rsid w:val="000B5904"/>
    <w:rsid w:val="001256A5"/>
    <w:rsid w:val="0014611D"/>
    <w:rsid w:val="001D47D7"/>
    <w:rsid w:val="00222B7C"/>
    <w:rsid w:val="00227151"/>
    <w:rsid w:val="0027667D"/>
    <w:rsid w:val="00286F39"/>
    <w:rsid w:val="00372797"/>
    <w:rsid w:val="003E7EDC"/>
    <w:rsid w:val="004250CF"/>
    <w:rsid w:val="00456D18"/>
    <w:rsid w:val="00502C77"/>
    <w:rsid w:val="00511194"/>
    <w:rsid w:val="005A5D99"/>
    <w:rsid w:val="00613A39"/>
    <w:rsid w:val="00645560"/>
    <w:rsid w:val="00684F18"/>
    <w:rsid w:val="006B6AB1"/>
    <w:rsid w:val="006C4592"/>
    <w:rsid w:val="006D10D9"/>
    <w:rsid w:val="00704FA5"/>
    <w:rsid w:val="007406E9"/>
    <w:rsid w:val="0074382D"/>
    <w:rsid w:val="0078051C"/>
    <w:rsid w:val="00782A7F"/>
    <w:rsid w:val="007E5A49"/>
    <w:rsid w:val="007E66FB"/>
    <w:rsid w:val="007F2908"/>
    <w:rsid w:val="00813DE7"/>
    <w:rsid w:val="0081705C"/>
    <w:rsid w:val="00886BB7"/>
    <w:rsid w:val="00891AAF"/>
    <w:rsid w:val="008B0A1B"/>
    <w:rsid w:val="008B2205"/>
    <w:rsid w:val="008C66D4"/>
    <w:rsid w:val="008D08B7"/>
    <w:rsid w:val="00917821"/>
    <w:rsid w:val="009A5F7E"/>
    <w:rsid w:val="009B221E"/>
    <w:rsid w:val="009E125B"/>
    <w:rsid w:val="00A43ABA"/>
    <w:rsid w:val="00A80439"/>
    <w:rsid w:val="00A9461F"/>
    <w:rsid w:val="00AC0A61"/>
    <w:rsid w:val="00AC73ED"/>
    <w:rsid w:val="00B63843"/>
    <w:rsid w:val="00BA6BBB"/>
    <w:rsid w:val="00BB175E"/>
    <w:rsid w:val="00BC55AE"/>
    <w:rsid w:val="00BE3DBE"/>
    <w:rsid w:val="00BE65A8"/>
    <w:rsid w:val="00C27021"/>
    <w:rsid w:val="00C576EA"/>
    <w:rsid w:val="00C6633A"/>
    <w:rsid w:val="00D20DD4"/>
    <w:rsid w:val="00D74DE9"/>
    <w:rsid w:val="00DA009E"/>
    <w:rsid w:val="00E00226"/>
    <w:rsid w:val="00E0416E"/>
    <w:rsid w:val="00E77D7A"/>
    <w:rsid w:val="00F65AE8"/>
    <w:rsid w:val="00F6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5B"/>
    <w:pPr>
      <w:ind w:left="720"/>
      <w:contextualSpacing/>
    </w:pPr>
  </w:style>
  <w:style w:type="paragraph" w:styleId="BalloonText">
    <w:name w:val="Balloon Text"/>
    <w:basedOn w:val="Normal"/>
    <w:link w:val="BalloonTextChar"/>
    <w:uiPriority w:val="99"/>
    <w:semiHidden/>
    <w:unhideWhenUsed/>
    <w:rsid w:val="008D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B7"/>
    <w:rPr>
      <w:rFonts w:ascii="Tahoma" w:hAnsi="Tahoma" w:cs="Tahoma"/>
      <w:sz w:val="16"/>
      <w:szCs w:val="16"/>
    </w:rPr>
  </w:style>
  <w:style w:type="character" w:styleId="Emphasis">
    <w:name w:val="Emphasis"/>
    <w:basedOn w:val="DefaultParagraphFont"/>
    <w:qFormat/>
    <w:rsid w:val="007F2908"/>
    <w:rPr>
      <w:i/>
      <w:iCs/>
    </w:rPr>
  </w:style>
  <w:style w:type="table" w:styleId="TableGrid">
    <w:name w:val="Table Grid"/>
    <w:basedOn w:val="TableNormal"/>
    <w:rsid w:val="00E7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5B"/>
    <w:pPr>
      <w:ind w:left="720"/>
      <w:contextualSpacing/>
    </w:pPr>
  </w:style>
  <w:style w:type="paragraph" w:styleId="BalloonText">
    <w:name w:val="Balloon Text"/>
    <w:basedOn w:val="Normal"/>
    <w:link w:val="BalloonTextChar"/>
    <w:uiPriority w:val="99"/>
    <w:semiHidden/>
    <w:unhideWhenUsed/>
    <w:rsid w:val="008D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B7"/>
    <w:rPr>
      <w:rFonts w:ascii="Tahoma" w:hAnsi="Tahoma" w:cs="Tahoma"/>
      <w:sz w:val="16"/>
      <w:szCs w:val="16"/>
    </w:rPr>
  </w:style>
  <w:style w:type="character" w:styleId="Emphasis">
    <w:name w:val="Emphasis"/>
    <w:basedOn w:val="DefaultParagraphFont"/>
    <w:qFormat/>
    <w:rsid w:val="007F2908"/>
    <w:rPr>
      <w:i/>
      <w:iCs/>
    </w:rPr>
  </w:style>
  <w:style w:type="table" w:styleId="TableGrid">
    <w:name w:val="Table Grid"/>
    <w:basedOn w:val="TableNormal"/>
    <w:rsid w:val="00E7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JBPUB</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Isaacs</dc:creator>
  <cp:lastModifiedBy>Jody Sullivan</cp:lastModifiedBy>
  <cp:revision>5</cp:revision>
  <dcterms:created xsi:type="dcterms:W3CDTF">2012-02-14T20:40:00Z</dcterms:created>
  <dcterms:modified xsi:type="dcterms:W3CDTF">2012-02-14T21:14:00Z</dcterms:modified>
</cp:coreProperties>
</file>