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278"/>
        <w:gridCol w:w="8298"/>
      </w:tblGrid>
      <w:tr w:rsidR="001C3C8D" w:rsidTr="001C3C8D">
        <w:trPr>
          <w:trHeight w:val="403"/>
        </w:trPr>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 xml:space="preserve">Quiz 3 </w:t>
            </w:r>
          </w:p>
        </w:tc>
        <w:tc>
          <w:tcPr>
            <w:tcW w:w="8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BID says 2 a day, should be 4 a day</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Midterm</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proofErr w:type="gramStart"/>
            <w:r>
              <w:rPr>
                <w:highlight w:val="yellow"/>
              </w:rPr>
              <w:t>answer</w:t>
            </w:r>
            <w:proofErr w:type="gramEnd"/>
            <w:r>
              <w:rPr>
                <w:highlight w:val="yellow"/>
              </w:rPr>
              <w:t xml:space="preserve"> sheet for mid-term. Question #62 reads translation for bid, which is twice a day, on mid-term answer sheet it says "D" 4 times a day should be "B".</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shd w:val="clear" w:color="auto" w:fill="FFFFFF"/>
            </w:pPr>
            <w:commentRangeStart w:id="0"/>
            <w:r>
              <w:t xml:space="preserve">Chapter 4 </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color w:val="000000"/>
              </w:rPr>
            </w:pPr>
            <w:r>
              <w:rPr>
                <w:color w:val="000000"/>
              </w:rPr>
              <w:t>P 81- shows a label not an RX.</w:t>
            </w:r>
            <w:commentRangeEnd w:id="0"/>
            <w:r w:rsidR="00720D85">
              <w:rPr>
                <w:rStyle w:val="CommentReference"/>
              </w:rPr>
              <w:commentReference w:id="0"/>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shd w:val="clear" w:color="auto" w:fill="FFFFFF"/>
              <w:rPr>
                <w:color w:val="000000"/>
              </w:rPr>
            </w:pPr>
            <w:commentRangeStart w:id="1"/>
            <w:r>
              <w:t xml:space="preserve">Chapter 6 </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roofErr w:type="spellStart"/>
            <w:r>
              <w:rPr>
                <w:color w:val="000000"/>
              </w:rPr>
              <w:t>Ans</w:t>
            </w:r>
            <w:proofErr w:type="spellEnd"/>
            <w:r>
              <w:rPr>
                <w:color w:val="000000"/>
              </w:rPr>
              <w:t xml:space="preserve"> key for Chapter 6, Question 2 choice D is also correct, and make more sense than choice B.  Because OTC is never free of charge; therefore, it is a NOT true statement for choice B.</w:t>
            </w:r>
            <w:commentRangeEnd w:id="1"/>
            <w:r w:rsidR="00720D85">
              <w:rPr>
                <w:rStyle w:val="CommentReference"/>
              </w:rPr>
              <w:commentReference w:id="1"/>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Pr="001C3C8D" w:rsidRDefault="001C3C8D">
            <w:pPr>
              <w:rPr>
                <w:highlight w:val="yellow"/>
              </w:rPr>
            </w:pPr>
            <w:r w:rsidRPr="001C3C8D">
              <w:rPr>
                <w:highlight w:val="yellow"/>
              </w:rPr>
              <w:t>Chapter 6</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Pr="001C3C8D" w:rsidRDefault="001C3C8D">
            <w:pPr>
              <w:shd w:val="clear" w:color="auto" w:fill="FFFFFF"/>
              <w:rPr>
                <w:color w:val="000000"/>
                <w:highlight w:val="yellow"/>
              </w:rPr>
            </w:pPr>
            <w:r w:rsidRPr="001C3C8D">
              <w:rPr>
                <w:color w:val="000000"/>
                <w:highlight w:val="yellow"/>
              </w:rPr>
              <w:t>1) P 138, question 14 (</w:t>
            </w:r>
            <w:proofErr w:type="gramStart"/>
            <w:r w:rsidRPr="001C3C8D">
              <w:rPr>
                <w:color w:val="000000"/>
                <w:highlight w:val="yellow"/>
              </w:rPr>
              <w:t>Remember, ...</w:t>
            </w:r>
            <w:proofErr w:type="gramEnd"/>
            <w:r w:rsidRPr="001C3C8D">
              <w:rPr>
                <w:color w:val="000000"/>
                <w:highlight w:val="yellow"/>
              </w:rPr>
              <w:t xml:space="preserve"> BSA is 1.73 mg/m2); it should say 1.73/m2.  Also, answer is choice C 1.06mg/m2, not choice D.</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commentRangeStart w:id="2"/>
            <w:r>
              <w:t>Chapter 6</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shd w:val="clear" w:color="auto" w:fill="FFFFFF"/>
              <w:rPr>
                <w:color w:val="000000"/>
              </w:rPr>
            </w:pPr>
            <w:r>
              <w:rPr>
                <w:color w:val="000000"/>
              </w:rPr>
              <w:t xml:space="preserve">2) P. 139, question 20, to the best of my calculating, none of the answer </w:t>
            </w:r>
            <w:proofErr w:type="gramStart"/>
            <w:r>
              <w:rPr>
                <w:color w:val="000000"/>
              </w:rPr>
              <w:t>are</w:t>
            </w:r>
            <w:proofErr w:type="gramEnd"/>
            <w:r>
              <w:rPr>
                <w:color w:val="000000"/>
              </w:rPr>
              <w:t xml:space="preserve"> the correct choice.  I got 1:3030 for my answer.</w:t>
            </w:r>
            <w:commentRangeEnd w:id="2"/>
            <w:r w:rsidR="00720D85">
              <w:rPr>
                <w:rStyle w:val="CommentReference"/>
              </w:rPr>
              <w:commentReference w:id="2"/>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Chapter 6</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color w:val="000000"/>
                <w:highlight w:val="yellow"/>
              </w:rPr>
              <w:t xml:space="preserve">Quiz for Chap 6, question 20, D. should read quinolones (not </w:t>
            </w:r>
            <w:proofErr w:type="spellStart"/>
            <w:r>
              <w:rPr>
                <w:color w:val="000000"/>
                <w:highlight w:val="yellow"/>
              </w:rPr>
              <w:t>guinolones</w:t>
            </w:r>
            <w:proofErr w:type="spellEnd"/>
            <w:r>
              <w:rPr>
                <w:color w:val="000000"/>
                <w:highlight w:val="yellow"/>
              </w:rPr>
              <w:t>)</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color w:val="000000"/>
                <w:highlight w:val="yellow"/>
              </w:rPr>
              <w:t>Quiz 5</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shd w:val="clear" w:color="auto" w:fill="FFFFFF"/>
              <w:rPr>
                <w:color w:val="000000"/>
                <w:highlight w:val="yellow"/>
              </w:rPr>
            </w:pPr>
            <w:r>
              <w:rPr>
                <w:color w:val="000000"/>
                <w:highlight w:val="yellow"/>
              </w:rPr>
              <w:t xml:space="preserve">One of the questions in quiz5 was asking which the NRTI drug is, and </w:t>
            </w:r>
            <w:proofErr w:type="spellStart"/>
            <w:r>
              <w:rPr>
                <w:color w:val="000000"/>
                <w:highlight w:val="yellow"/>
              </w:rPr>
              <w:t>i</w:t>
            </w:r>
            <w:proofErr w:type="spellEnd"/>
            <w:r>
              <w:rPr>
                <w:color w:val="000000"/>
                <w:highlight w:val="yellow"/>
              </w:rPr>
              <w:t xml:space="preserve"> answered </w:t>
            </w:r>
            <w:proofErr w:type="spellStart"/>
            <w:r>
              <w:rPr>
                <w:color w:val="000000"/>
                <w:highlight w:val="yellow"/>
              </w:rPr>
              <w:t>Viread</w:t>
            </w:r>
            <w:proofErr w:type="spellEnd"/>
            <w:r>
              <w:rPr>
                <w:color w:val="000000"/>
                <w:highlight w:val="yellow"/>
              </w:rPr>
              <w:t xml:space="preserve"> (</w:t>
            </w:r>
            <w:proofErr w:type="spellStart"/>
            <w:r>
              <w:rPr>
                <w:color w:val="000000"/>
                <w:highlight w:val="yellow"/>
              </w:rPr>
              <w:t>Tenofovir</w:t>
            </w:r>
            <w:proofErr w:type="spellEnd"/>
            <w:r>
              <w:rPr>
                <w:color w:val="000000"/>
                <w:highlight w:val="yellow"/>
              </w:rPr>
              <w:t xml:space="preserve">) which is you gave us the answer; however, it's wrong answer. </w:t>
            </w:r>
            <w:proofErr w:type="spellStart"/>
            <w:proofErr w:type="gramStart"/>
            <w:r>
              <w:rPr>
                <w:color w:val="000000"/>
                <w:highlight w:val="yellow"/>
              </w:rPr>
              <w:t>i</w:t>
            </w:r>
            <w:proofErr w:type="spellEnd"/>
            <w:proofErr w:type="gramEnd"/>
            <w:r>
              <w:rPr>
                <w:color w:val="000000"/>
                <w:highlight w:val="yellow"/>
              </w:rPr>
              <w:t xml:space="preserve"> don't know what happened. </w:t>
            </w:r>
            <w:proofErr w:type="gramStart"/>
            <w:r>
              <w:rPr>
                <w:color w:val="000000"/>
                <w:highlight w:val="yellow"/>
              </w:rPr>
              <w:t>could</w:t>
            </w:r>
            <w:proofErr w:type="gramEnd"/>
            <w:r>
              <w:rPr>
                <w:color w:val="000000"/>
                <w:highlight w:val="yellow"/>
              </w:rPr>
              <w:t xml:space="preserve"> you help me to fix that issue? Question: Which of the following drugs is classified as a nucleoside reverse transcriptase inhibitor (NRTI)? Choose one answer. </w:t>
            </w:r>
          </w:p>
          <w:tbl>
            <w:tblPr>
              <w:tblW w:w="0" w:type="auto"/>
              <w:tblCellSpacing w:w="22" w:type="dxa"/>
              <w:tblCellMar>
                <w:left w:w="0" w:type="dxa"/>
                <w:right w:w="0" w:type="dxa"/>
              </w:tblCellMar>
              <w:tblLook w:val="04A0" w:firstRow="1" w:lastRow="0" w:firstColumn="1" w:lastColumn="0" w:noHBand="0" w:noVBand="1"/>
            </w:tblPr>
            <w:tblGrid>
              <w:gridCol w:w="280"/>
              <w:gridCol w:w="2502"/>
              <w:gridCol w:w="80"/>
              <w:gridCol w:w="292"/>
              <w:gridCol w:w="1901"/>
            </w:tblGrid>
            <w:tr w:rsidR="001C3C8D">
              <w:trPr>
                <w:tblCellSpacing w:w="22" w:type="dxa"/>
              </w:trPr>
              <w:tc>
                <w:tcPr>
                  <w:tcW w:w="214" w:type="dxa"/>
                  <w:tcMar>
                    <w:top w:w="15" w:type="dxa"/>
                    <w:left w:w="15" w:type="dxa"/>
                    <w:bottom w:w="15" w:type="dxa"/>
                    <w:right w:w="15" w:type="dxa"/>
                  </w:tcMar>
                  <w:vAlign w:val="center"/>
                  <w:hideMark/>
                </w:tcPr>
                <w:p w:rsidR="001C3C8D" w:rsidRDefault="001C3C8D">
                  <w:pPr>
                    <w:rPr>
                      <w:highlight w:val="yellow"/>
                    </w:rPr>
                  </w:pPr>
                  <w:r>
                    <w:rPr>
                      <w:highlight w:val="yellow"/>
                    </w:rPr>
                    <w:t>( )</w:t>
                  </w:r>
                </w:p>
              </w:tc>
              <w:tc>
                <w:tcPr>
                  <w:tcW w:w="2458" w:type="dxa"/>
                  <w:tcMar>
                    <w:top w:w="15" w:type="dxa"/>
                    <w:left w:w="15" w:type="dxa"/>
                    <w:bottom w:w="15" w:type="dxa"/>
                    <w:right w:w="15" w:type="dxa"/>
                  </w:tcMar>
                  <w:vAlign w:val="center"/>
                  <w:hideMark/>
                </w:tcPr>
                <w:p w:rsidR="001C3C8D" w:rsidRDefault="001C3C8D">
                  <w:pPr>
                    <w:rPr>
                      <w:highlight w:val="yellow"/>
                    </w:rPr>
                  </w:pPr>
                  <w:r>
                    <w:rPr>
                      <w:highlight w:val="yellow"/>
                    </w:rPr>
                    <w:t xml:space="preserve">a. </w:t>
                  </w:r>
                  <w:proofErr w:type="spellStart"/>
                  <w:r>
                    <w:rPr>
                      <w:highlight w:val="yellow"/>
                    </w:rPr>
                    <w:t>rimantadine</w:t>
                  </w:r>
                  <w:proofErr w:type="spellEnd"/>
                  <w:r>
                    <w:rPr>
                      <w:highlight w:val="yellow"/>
                    </w:rPr>
                    <w:t xml:space="preserve"> (</w:t>
                  </w:r>
                  <w:proofErr w:type="spellStart"/>
                  <w:r>
                    <w:rPr>
                      <w:highlight w:val="yellow"/>
                    </w:rPr>
                    <w:t>Flumadine</w:t>
                  </w:r>
                  <w:proofErr w:type="spellEnd"/>
                  <w:r>
                    <w:rPr>
                      <w:highlight w:val="yellow"/>
                    </w:rPr>
                    <w:t xml:space="preserve">) </w:t>
                  </w:r>
                </w:p>
              </w:tc>
              <w:tc>
                <w:tcPr>
                  <w:tcW w:w="36" w:type="dxa"/>
                  <w:tcMar>
                    <w:top w:w="15" w:type="dxa"/>
                    <w:left w:w="15" w:type="dxa"/>
                    <w:bottom w:w="15" w:type="dxa"/>
                    <w:right w:w="15" w:type="dxa"/>
                  </w:tcMar>
                  <w:vAlign w:val="center"/>
                  <w:hideMark/>
                </w:tcPr>
                <w:p w:rsidR="001C3C8D" w:rsidRDefault="001C3C8D">
                  <w:pPr>
                    <w:rPr>
                      <w:rFonts w:ascii="Times New Roman" w:eastAsia="Times New Roman" w:hAnsi="Times New Roman" w:cs="Times New Roman"/>
                      <w:sz w:val="20"/>
                      <w:szCs w:val="20"/>
                    </w:rPr>
                  </w:pPr>
                </w:p>
              </w:tc>
              <w:tc>
                <w:tcPr>
                  <w:tcW w:w="248" w:type="dxa"/>
                  <w:vAlign w:val="center"/>
                  <w:hideMark/>
                </w:tcPr>
                <w:p w:rsidR="001C3C8D" w:rsidRDefault="001C3C8D">
                  <w:pPr>
                    <w:rPr>
                      <w:highlight w:val="yellow"/>
                    </w:rPr>
                  </w:pPr>
                  <w:r>
                    <w:rPr>
                      <w:highlight w:val="yellow"/>
                    </w:rPr>
                    <w:t>( )</w:t>
                  </w:r>
                </w:p>
              </w:tc>
              <w:tc>
                <w:tcPr>
                  <w:tcW w:w="1835" w:type="dxa"/>
                  <w:vAlign w:val="center"/>
                  <w:hideMark/>
                </w:tcPr>
                <w:p w:rsidR="001C3C8D" w:rsidRDefault="001C3C8D">
                  <w:pPr>
                    <w:rPr>
                      <w:highlight w:val="yellow"/>
                    </w:rPr>
                  </w:pPr>
                  <w:r>
                    <w:rPr>
                      <w:highlight w:val="yellow"/>
                    </w:rPr>
                    <w:t xml:space="preserve">e. </w:t>
                  </w:r>
                  <w:proofErr w:type="spellStart"/>
                  <w:r>
                    <w:rPr>
                      <w:highlight w:val="yellow"/>
                    </w:rPr>
                    <w:t>abacavir</w:t>
                  </w:r>
                  <w:proofErr w:type="spellEnd"/>
                  <w:r>
                    <w:rPr>
                      <w:highlight w:val="yellow"/>
                    </w:rPr>
                    <w:t xml:space="preserve"> (</w:t>
                  </w:r>
                  <w:proofErr w:type="spellStart"/>
                  <w:r>
                    <w:rPr>
                      <w:highlight w:val="yellow"/>
                    </w:rPr>
                    <w:t>Ziagen</w:t>
                  </w:r>
                  <w:proofErr w:type="spellEnd"/>
                  <w:r>
                    <w:rPr>
                      <w:highlight w:val="yellow"/>
                    </w:rPr>
                    <w:t xml:space="preserve">) </w:t>
                  </w:r>
                </w:p>
              </w:tc>
            </w:tr>
            <w:tr w:rsidR="001C3C8D">
              <w:trPr>
                <w:tblCellSpacing w:w="22" w:type="dxa"/>
              </w:trPr>
              <w:tc>
                <w:tcPr>
                  <w:tcW w:w="214" w:type="dxa"/>
                  <w:tcMar>
                    <w:top w:w="15" w:type="dxa"/>
                    <w:left w:w="15" w:type="dxa"/>
                    <w:bottom w:w="15" w:type="dxa"/>
                    <w:right w:w="15" w:type="dxa"/>
                  </w:tcMar>
                  <w:vAlign w:val="center"/>
                  <w:hideMark/>
                </w:tcPr>
                <w:p w:rsidR="001C3C8D" w:rsidRDefault="001C3C8D">
                  <w:pPr>
                    <w:rPr>
                      <w:highlight w:val="yellow"/>
                    </w:rPr>
                  </w:pPr>
                  <w:r>
                    <w:rPr>
                      <w:highlight w:val="yellow"/>
                    </w:rPr>
                    <w:t>( )</w:t>
                  </w:r>
                </w:p>
              </w:tc>
              <w:tc>
                <w:tcPr>
                  <w:tcW w:w="2458" w:type="dxa"/>
                  <w:tcMar>
                    <w:top w:w="15" w:type="dxa"/>
                    <w:left w:w="15" w:type="dxa"/>
                    <w:bottom w:w="15" w:type="dxa"/>
                    <w:right w:w="15" w:type="dxa"/>
                  </w:tcMar>
                  <w:vAlign w:val="center"/>
                  <w:hideMark/>
                </w:tcPr>
                <w:p w:rsidR="001C3C8D" w:rsidRDefault="001C3C8D">
                  <w:pPr>
                    <w:rPr>
                      <w:highlight w:val="yellow"/>
                    </w:rPr>
                  </w:pPr>
                  <w:r>
                    <w:rPr>
                      <w:highlight w:val="yellow"/>
                    </w:rPr>
                    <w:t xml:space="preserve">b. </w:t>
                  </w:r>
                  <w:proofErr w:type="spellStart"/>
                  <w:r>
                    <w:rPr>
                      <w:highlight w:val="yellow"/>
                    </w:rPr>
                    <w:t>zanamivir</w:t>
                  </w:r>
                  <w:proofErr w:type="spellEnd"/>
                  <w:r>
                    <w:rPr>
                      <w:highlight w:val="yellow"/>
                    </w:rPr>
                    <w:t xml:space="preserve"> (Relenza) </w:t>
                  </w:r>
                </w:p>
              </w:tc>
              <w:tc>
                <w:tcPr>
                  <w:tcW w:w="36" w:type="dxa"/>
                  <w:tcMar>
                    <w:top w:w="15" w:type="dxa"/>
                    <w:left w:w="15" w:type="dxa"/>
                    <w:bottom w:w="15" w:type="dxa"/>
                    <w:right w:w="15" w:type="dxa"/>
                  </w:tcMar>
                  <w:vAlign w:val="center"/>
                  <w:hideMark/>
                </w:tcPr>
                <w:p w:rsidR="001C3C8D" w:rsidRDefault="001C3C8D">
                  <w:pPr>
                    <w:rPr>
                      <w:rFonts w:ascii="Times New Roman" w:eastAsia="Times New Roman" w:hAnsi="Times New Roman" w:cs="Times New Roman"/>
                      <w:sz w:val="20"/>
                      <w:szCs w:val="20"/>
                    </w:rPr>
                  </w:pPr>
                </w:p>
              </w:tc>
              <w:tc>
                <w:tcPr>
                  <w:tcW w:w="248" w:type="dxa"/>
                  <w:vAlign w:val="center"/>
                  <w:hideMark/>
                </w:tcPr>
                <w:p w:rsidR="001C3C8D" w:rsidRDefault="001C3C8D">
                  <w:pPr>
                    <w:rPr>
                      <w:highlight w:val="yellow"/>
                    </w:rPr>
                  </w:pPr>
                  <w:r>
                    <w:rPr>
                      <w:highlight w:val="yellow"/>
                    </w:rPr>
                    <w:t>( )</w:t>
                  </w:r>
                </w:p>
              </w:tc>
              <w:tc>
                <w:tcPr>
                  <w:tcW w:w="1835" w:type="dxa"/>
                  <w:vAlign w:val="center"/>
                  <w:hideMark/>
                </w:tcPr>
                <w:p w:rsidR="001C3C8D" w:rsidRDefault="001C3C8D">
                  <w:pPr>
                    <w:rPr>
                      <w:highlight w:val="yellow"/>
                    </w:rPr>
                  </w:pPr>
                  <w:r>
                    <w:rPr>
                      <w:highlight w:val="yellow"/>
                    </w:rPr>
                    <w:t>f. ritonavir (</w:t>
                  </w:r>
                  <w:proofErr w:type="spellStart"/>
                  <w:r>
                    <w:rPr>
                      <w:highlight w:val="yellow"/>
                    </w:rPr>
                    <w:t>Norvir</w:t>
                  </w:r>
                  <w:proofErr w:type="spellEnd"/>
                  <w:r>
                    <w:rPr>
                      <w:highlight w:val="yellow"/>
                    </w:rPr>
                    <w:t xml:space="preserve">) </w:t>
                  </w:r>
                </w:p>
              </w:tc>
            </w:tr>
            <w:tr w:rsidR="001C3C8D">
              <w:trPr>
                <w:tblCellSpacing w:w="22" w:type="dxa"/>
              </w:trPr>
              <w:tc>
                <w:tcPr>
                  <w:tcW w:w="214" w:type="dxa"/>
                  <w:tcMar>
                    <w:top w:w="15" w:type="dxa"/>
                    <w:left w:w="15" w:type="dxa"/>
                    <w:bottom w:w="15" w:type="dxa"/>
                    <w:right w:w="15" w:type="dxa"/>
                  </w:tcMar>
                  <w:vAlign w:val="center"/>
                  <w:hideMark/>
                </w:tcPr>
                <w:p w:rsidR="001C3C8D" w:rsidRDefault="001C3C8D">
                  <w:pPr>
                    <w:rPr>
                      <w:highlight w:val="yellow"/>
                    </w:rPr>
                  </w:pPr>
                  <w:r>
                    <w:rPr>
                      <w:highlight w:val="yellow"/>
                    </w:rPr>
                    <w:t>( )</w:t>
                  </w:r>
                </w:p>
              </w:tc>
              <w:tc>
                <w:tcPr>
                  <w:tcW w:w="2458" w:type="dxa"/>
                  <w:tcMar>
                    <w:top w:w="15" w:type="dxa"/>
                    <w:left w:w="15" w:type="dxa"/>
                    <w:bottom w:w="15" w:type="dxa"/>
                    <w:right w:w="15" w:type="dxa"/>
                  </w:tcMar>
                  <w:vAlign w:val="center"/>
                  <w:hideMark/>
                </w:tcPr>
                <w:p w:rsidR="001C3C8D" w:rsidRDefault="001C3C8D">
                  <w:pPr>
                    <w:rPr>
                      <w:highlight w:val="yellow"/>
                    </w:rPr>
                  </w:pPr>
                  <w:r>
                    <w:rPr>
                      <w:highlight w:val="yellow"/>
                    </w:rPr>
                    <w:t xml:space="preserve">c. </w:t>
                  </w:r>
                  <w:proofErr w:type="spellStart"/>
                  <w:r>
                    <w:rPr>
                      <w:highlight w:val="yellow"/>
                    </w:rPr>
                    <w:t>oseltamivir</w:t>
                  </w:r>
                  <w:proofErr w:type="spellEnd"/>
                  <w:r>
                    <w:rPr>
                      <w:highlight w:val="yellow"/>
                    </w:rPr>
                    <w:t xml:space="preserve"> (Tamiflu) </w:t>
                  </w:r>
                </w:p>
              </w:tc>
              <w:tc>
                <w:tcPr>
                  <w:tcW w:w="36" w:type="dxa"/>
                  <w:tcMar>
                    <w:top w:w="15" w:type="dxa"/>
                    <w:left w:w="15" w:type="dxa"/>
                    <w:bottom w:w="15" w:type="dxa"/>
                    <w:right w:w="15" w:type="dxa"/>
                  </w:tcMar>
                  <w:vAlign w:val="center"/>
                  <w:hideMark/>
                </w:tcPr>
                <w:p w:rsidR="001C3C8D" w:rsidRDefault="001C3C8D">
                  <w:pPr>
                    <w:rPr>
                      <w:rFonts w:ascii="Times New Roman" w:eastAsia="Times New Roman" w:hAnsi="Times New Roman" w:cs="Times New Roman"/>
                      <w:sz w:val="20"/>
                      <w:szCs w:val="20"/>
                    </w:rPr>
                  </w:pPr>
                </w:p>
              </w:tc>
              <w:tc>
                <w:tcPr>
                  <w:tcW w:w="248" w:type="dxa"/>
                  <w:vAlign w:val="center"/>
                  <w:hideMark/>
                </w:tcPr>
                <w:p w:rsidR="001C3C8D" w:rsidRDefault="001C3C8D">
                  <w:pPr>
                    <w:rPr>
                      <w:highlight w:val="yellow"/>
                    </w:rPr>
                  </w:pPr>
                  <w:r>
                    <w:rPr>
                      <w:highlight w:val="yellow"/>
                    </w:rPr>
                    <w:t>(X)</w:t>
                  </w:r>
                </w:p>
              </w:tc>
              <w:tc>
                <w:tcPr>
                  <w:tcW w:w="1835" w:type="dxa"/>
                  <w:vAlign w:val="center"/>
                  <w:hideMark/>
                </w:tcPr>
                <w:p w:rsidR="001C3C8D" w:rsidRDefault="001C3C8D">
                  <w:pPr>
                    <w:rPr>
                      <w:highlight w:val="yellow"/>
                    </w:rPr>
                  </w:pPr>
                  <w:r>
                    <w:rPr>
                      <w:highlight w:val="yellow"/>
                    </w:rPr>
                    <w:t xml:space="preserve">g. </w:t>
                  </w:r>
                  <w:proofErr w:type="spellStart"/>
                  <w:r>
                    <w:rPr>
                      <w:highlight w:val="yellow"/>
                    </w:rPr>
                    <w:t>tenofovir</w:t>
                  </w:r>
                  <w:proofErr w:type="spellEnd"/>
                  <w:r>
                    <w:rPr>
                      <w:highlight w:val="yellow"/>
                    </w:rPr>
                    <w:t xml:space="preserve"> (</w:t>
                  </w:r>
                  <w:proofErr w:type="spellStart"/>
                  <w:r>
                    <w:rPr>
                      <w:highlight w:val="yellow"/>
                    </w:rPr>
                    <w:t>Viread</w:t>
                  </w:r>
                  <w:proofErr w:type="spellEnd"/>
                  <w:r>
                    <w:rPr>
                      <w:highlight w:val="yellow"/>
                    </w:rPr>
                    <w:t xml:space="preserve">) </w:t>
                  </w:r>
                </w:p>
              </w:tc>
            </w:tr>
            <w:tr w:rsidR="001C3C8D">
              <w:trPr>
                <w:tblCellSpacing w:w="22" w:type="dxa"/>
              </w:trPr>
              <w:tc>
                <w:tcPr>
                  <w:tcW w:w="214" w:type="dxa"/>
                  <w:tcMar>
                    <w:top w:w="15" w:type="dxa"/>
                    <w:left w:w="15" w:type="dxa"/>
                    <w:bottom w:w="15" w:type="dxa"/>
                    <w:right w:w="15" w:type="dxa"/>
                  </w:tcMar>
                  <w:vAlign w:val="center"/>
                  <w:hideMark/>
                </w:tcPr>
                <w:p w:rsidR="001C3C8D" w:rsidRDefault="001C3C8D">
                  <w:pPr>
                    <w:rPr>
                      <w:highlight w:val="yellow"/>
                    </w:rPr>
                  </w:pPr>
                  <w:r>
                    <w:rPr>
                      <w:highlight w:val="yellow"/>
                    </w:rPr>
                    <w:t>( )</w:t>
                  </w:r>
                </w:p>
              </w:tc>
              <w:tc>
                <w:tcPr>
                  <w:tcW w:w="2458" w:type="dxa"/>
                  <w:tcMar>
                    <w:top w:w="15" w:type="dxa"/>
                    <w:left w:w="15" w:type="dxa"/>
                    <w:bottom w:w="15" w:type="dxa"/>
                    <w:right w:w="15" w:type="dxa"/>
                  </w:tcMar>
                  <w:vAlign w:val="center"/>
                  <w:hideMark/>
                </w:tcPr>
                <w:p w:rsidR="001C3C8D" w:rsidRDefault="001C3C8D">
                  <w:pPr>
                    <w:rPr>
                      <w:highlight w:val="yellow"/>
                    </w:rPr>
                  </w:pPr>
                  <w:r>
                    <w:rPr>
                      <w:highlight w:val="yellow"/>
                    </w:rPr>
                    <w:t xml:space="preserve">d. </w:t>
                  </w:r>
                  <w:proofErr w:type="spellStart"/>
                  <w:r>
                    <w:rPr>
                      <w:highlight w:val="yellow"/>
                    </w:rPr>
                    <w:t>ganciclovir</w:t>
                  </w:r>
                  <w:proofErr w:type="spellEnd"/>
                  <w:r>
                    <w:rPr>
                      <w:highlight w:val="yellow"/>
                    </w:rPr>
                    <w:t xml:space="preserve"> (</w:t>
                  </w:r>
                  <w:proofErr w:type="spellStart"/>
                  <w:r>
                    <w:rPr>
                      <w:highlight w:val="yellow"/>
                    </w:rPr>
                    <w:t>Virasert</w:t>
                  </w:r>
                  <w:proofErr w:type="spellEnd"/>
                  <w:r>
                    <w:rPr>
                      <w:highlight w:val="yellow"/>
                    </w:rPr>
                    <w:t xml:space="preserve">) </w:t>
                  </w:r>
                </w:p>
              </w:tc>
              <w:tc>
                <w:tcPr>
                  <w:tcW w:w="36" w:type="dxa"/>
                  <w:tcMar>
                    <w:top w:w="15" w:type="dxa"/>
                    <w:left w:w="15" w:type="dxa"/>
                    <w:bottom w:w="15" w:type="dxa"/>
                    <w:right w:w="15" w:type="dxa"/>
                  </w:tcMar>
                  <w:vAlign w:val="center"/>
                  <w:hideMark/>
                </w:tcPr>
                <w:p w:rsidR="001C3C8D" w:rsidRDefault="001C3C8D">
                  <w:pPr>
                    <w:rPr>
                      <w:rFonts w:ascii="Times New Roman" w:eastAsia="Times New Roman" w:hAnsi="Times New Roman" w:cs="Times New Roman"/>
                      <w:sz w:val="20"/>
                      <w:szCs w:val="20"/>
                    </w:rPr>
                  </w:pPr>
                </w:p>
              </w:tc>
              <w:tc>
                <w:tcPr>
                  <w:tcW w:w="248" w:type="dxa"/>
                  <w:vAlign w:val="center"/>
                  <w:hideMark/>
                </w:tcPr>
                <w:p w:rsidR="001C3C8D" w:rsidRDefault="001C3C8D">
                  <w:pPr>
                    <w:rPr>
                      <w:highlight w:val="yellow"/>
                    </w:rPr>
                  </w:pPr>
                  <w:r>
                    <w:rPr>
                      <w:highlight w:val="yellow"/>
                    </w:rPr>
                    <w:t>( )</w:t>
                  </w:r>
                </w:p>
              </w:tc>
              <w:tc>
                <w:tcPr>
                  <w:tcW w:w="1835" w:type="dxa"/>
                  <w:vAlign w:val="center"/>
                  <w:hideMark/>
                </w:tcPr>
                <w:p w:rsidR="001C3C8D" w:rsidRDefault="001C3C8D">
                  <w:pPr>
                    <w:rPr>
                      <w:highlight w:val="yellow"/>
                    </w:rPr>
                  </w:pPr>
                  <w:r>
                    <w:rPr>
                      <w:highlight w:val="yellow"/>
                    </w:rPr>
                    <w:t>h. acyclovir (</w:t>
                  </w:r>
                  <w:proofErr w:type="spellStart"/>
                  <w:r>
                    <w:rPr>
                      <w:highlight w:val="yellow"/>
                    </w:rPr>
                    <w:t>Zovirax</w:t>
                  </w:r>
                  <w:proofErr w:type="spellEnd"/>
                  <w:r>
                    <w:rPr>
                      <w:highlight w:val="yellow"/>
                    </w:rPr>
                    <w:t xml:space="preserve">) </w:t>
                  </w:r>
                </w:p>
              </w:tc>
            </w:tr>
          </w:tbl>
          <w:p w:rsidR="001C3C8D" w:rsidRDefault="001C3C8D">
            <w:pPr>
              <w:rPr>
                <w:rFonts w:ascii="Times New Roman" w:eastAsia="Times New Roman" w:hAnsi="Times New Roman" w:cs="Times New Roman"/>
                <w:sz w:val="20"/>
                <w:szCs w:val="20"/>
              </w:rPr>
            </w:pP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spacing w:after="240"/>
              <w:rPr>
                <w:highlight w:val="yellow"/>
              </w:rPr>
            </w:pPr>
            <w:r>
              <w:rPr>
                <w:highlight w:val="yellow"/>
              </w:rPr>
              <w:t>Quiz 5</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 xml:space="preserve">Patients who are prescribed </w:t>
            </w:r>
            <w:proofErr w:type="spellStart"/>
            <w:r>
              <w:rPr>
                <w:highlight w:val="yellow"/>
              </w:rPr>
              <w:t>cefdinir</w:t>
            </w:r>
            <w:proofErr w:type="spellEnd"/>
            <w:r>
              <w:rPr>
                <w:highlight w:val="yellow"/>
              </w:rPr>
              <w:t xml:space="preserve"> (</w:t>
            </w:r>
            <w:proofErr w:type="spellStart"/>
            <w:r>
              <w:rPr>
                <w:highlight w:val="yellow"/>
              </w:rPr>
              <w:t>Omnicef</w:t>
            </w:r>
            <w:proofErr w:type="spellEnd"/>
            <w:r>
              <w:rPr>
                <w:highlight w:val="yellow"/>
              </w:rPr>
              <w:t>) in oral suspension must be informed</w:t>
            </w:r>
            <w:r>
              <w:rPr>
                <w:highlight w:val="yellow"/>
              </w:rPr>
              <w:br/>
              <w:t xml:space="preserve">A.  </w:t>
            </w:r>
            <w:proofErr w:type="gramStart"/>
            <w:r>
              <w:rPr>
                <w:highlight w:val="yellow"/>
              </w:rPr>
              <w:t>of</w:t>
            </w:r>
            <w:proofErr w:type="gramEnd"/>
            <w:r>
              <w:rPr>
                <w:highlight w:val="yellow"/>
              </w:rPr>
              <w:t xml:space="preserve"> the high salt content of the drug</w:t>
            </w:r>
            <w:r>
              <w:rPr>
                <w:highlight w:val="yellow"/>
              </w:rPr>
              <w:br/>
              <w:t xml:space="preserve">B.  </w:t>
            </w:r>
            <w:proofErr w:type="gramStart"/>
            <w:r>
              <w:rPr>
                <w:highlight w:val="yellow"/>
              </w:rPr>
              <w:t>that</w:t>
            </w:r>
            <w:proofErr w:type="gramEnd"/>
            <w:r>
              <w:rPr>
                <w:highlight w:val="yellow"/>
              </w:rPr>
              <w:t xml:space="preserve"> the drug must be refrigerated</w:t>
            </w:r>
            <w:r>
              <w:rPr>
                <w:highlight w:val="yellow"/>
              </w:rPr>
              <w:br/>
              <w:t xml:space="preserve">C.  </w:t>
            </w:r>
            <w:proofErr w:type="gramStart"/>
            <w:r>
              <w:rPr>
                <w:highlight w:val="yellow"/>
              </w:rPr>
              <w:t>that</w:t>
            </w:r>
            <w:proofErr w:type="gramEnd"/>
            <w:r>
              <w:rPr>
                <w:highlight w:val="yellow"/>
              </w:rPr>
              <w:t xml:space="preserve"> the drug may cause blurred vision</w:t>
            </w:r>
            <w:r>
              <w:rPr>
                <w:highlight w:val="yellow"/>
              </w:rPr>
              <w:br/>
              <w:t xml:space="preserve">D.  </w:t>
            </w:r>
            <w:proofErr w:type="gramStart"/>
            <w:r>
              <w:rPr>
                <w:highlight w:val="yellow"/>
              </w:rPr>
              <w:t>to</w:t>
            </w:r>
            <w:proofErr w:type="gramEnd"/>
            <w:r>
              <w:rPr>
                <w:highlight w:val="yellow"/>
              </w:rPr>
              <w:t xml:space="preserve"> avoid sun exposure</w:t>
            </w:r>
            <w:r>
              <w:rPr>
                <w:highlight w:val="yellow"/>
              </w:rPr>
              <w:br/>
              <w:t>ANSWER B</w:t>
            </w:r>
            <w:r>
              <w:rPr>
                <w:highlight w:val="yellow"/>
              </w:rPr>
              <w:br/>
              <w:t xml:space="preserve">That is incorrect. </w:t>
            </w:r>
            <w:proofErr w:type="spellStart"/>
            <w:r>
              <w:rPr>
                <w:highlight w:val="yellow"/>
              </w:rPr>
              <w:t>Omnicef</w:t>
            </w:r>
            <w:proofErr w:type="spellEnd"/>
            <w:r>
              <w:rPr>
                <w:highlight w:val="yellow"/>
              </w:rPr>
              <w:t xml:space="preserve"> is a cephalosporin and </w:t>
            </w:r>
            <w:proofErr w:type="spellStart"/>
            <w:r>
              <w:rPr>
                <w:highlight w:val="yellow"/>
              </w:rPr>
              <w:t>cephalosporins</w:t>
            </w:r>
            <w:proofErr w:type="spellEnd"/>
            <w:r>
              <w:rPr>
                <w:highlight w:val="yellow"/>
              </w:rPr>
              <w:t xml:space="preserve"> USUALLY require refrigeration. However, </w:t>
            </w:r>
            <w:proofErr w:type="spellStart"/>
            <w:r>
              <w:rPr>
                <w:highlight w:val="yellow"/>
              </w:rPr>
              <w:t>cefdinir</w:t>
            </w:r>
            <w:proofErr w:type="spellEnd"/>
            <w:r>
              <w:rPr>
                <w:highlight w:val="yellow"/>
              </w:rPr>
              <w:t xml:space="preserve"> (</w:t>
            </w:r>
            <w:proofErr w:type="spellStart"/>
            <w:r>
              <w:rPr>
                <w:highlight w:val="yellow"/>
              </w:rPr>
              <w:t>Omnicef</w:t>
            </w:r>
            <w:proofErr w:type="spellEnd"/>
            <w:r>
              <w:rPr>
                <w:highlight w:val="yellow"/>
              </w:rPr>
              <w:t>) is an exception and the oral suspension is to be stored at room temperature. I doubled checked this information with a pharmacist.</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Midterm A</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pStyle w:val="NormalWeb"/>
              <w:spacing w:before="0" w:beforeAutospacing="0" w:after="0" w:afterAutospacing="0"/>
              <w:rPr>
                <w:rFonts w:ascii="Calibri" w:hAnsi="Calibri" w:cs="Calibri"/>
                <w:sz w:val="22"/>
                <w:szCs w:val="22"/>
                <w:highlight w:val="yellow"/>
              </w:rPr>
            </w:pPr>
            <w:r>
              <w:rPr>
                <w:rFonts w:ascii="Calibri" w:hAnsi="Calibri" w:cs="Calibri"/>
                <w:sz w:val="22"/>
                <w:szCs w:val="22"/>
                <w:highlight w:val="yellow"/>
              </w:rPr>
              <w:t>On the 1st mid-term (A) question #4 should be E not B question reads Responsibilities of the pharmacy tech. may include:</w:t>
            </w:r>
            <w:r>
              <w:rPr>
                <w:rFonts w:ascii="Calibri" w:hAnsi="Calibri" w:cs="Calibri"/>
                <w:sz w:val="22"/>
                <w:szCs w:val="22"/>
                <w:highlight w:val="yellow"/>
              </w:rPr>
              <w:br/>
              <w:t>A. Counseling the pt.</w:t>
            </w:r>
            <w:r>
              <w:rPr>
                <w:rFonts w:ascii="Calibri" w:hAnsi="Calibri" w:cs="Calibri"/>
                <w:sz w:val="22"/>
                <w:szCs w:val="22"/>
                <w:highlight w:val="yellow"/>
              </w:rPr>
              <w:br/>
              <w:t xml:space="preserve">B. entering </w:t>
            </w:r>
            <w:proofErr w:type="spellStart"/>
            <w:r>
              <w:rPr>
                <w:rFonts w:ascii="Calibri" w:hAnsi="Calibri" w:cs="Calibri"/>
                <w:sz w:val="22"/>
                <w:szCs w:val="22"/>
                <w:highlight w:val="yellow"/>
              </w:rPr>
              <w:t>rx</w:t>
            </w:r>
            <w:proofErr w:type="spellEnd"/>
            <w:r>
              <w:rPr>
                <w:rFonts w:ascii="Calibri" w:hAnsi="Calibri" w:cs="Calibri"/>
                <w:sz w:val="22"/>
                <w:szCs w:val="22"/>
                <w:highlight w:val="yellow"/>
              </w:rPr>
              <w:t xml:space="preserve"> info into the computer</w:t>
            </w:r>
            <w:r>
              <w:rPr>
                <w:rFonts w:ascii="Calibri" w:hAnsi="Calibri" w:cs="Calibri"/>
                <w:sz w:val="22"/>
                <w:szCs w:val="22"/>
                <w:highlight w:val="yellow"/>
              </w:rPr>
              <w:br/>
              <w:t>c. retrieving &amp; counting medications'</w:t>
            </w:r>
            <w:r>
              <w:rPr>
                <w:rFonts w:ascii="Calibri" w:hAnsi="Calibri" w:cs="Calibri"/>
                <w:sz w:val="22"/>
                <w:szCs w:val="22"/>
                <w:highlight w:val="yellow"/>
              </w:rPr>
              <w:br/>
              <w:t>d. a &amp; c</w:t>
            </w:r>
            <w:r>
              <w:rPr>
                <w:rFonts w:ascii="Calibri" w:hAnsi="Calibri" w:cs="Calibri"/>
                <w:sz w:val="22"/>
                <w:szCs w:val="22"/>
                <w:highlight w:val="yellow"/>
              </w:rPr>
              <w:br/>
              <w:t xml:space="preserve">e. b &amp; c </w:t>
            </w:r>
            <w:r>
              <w:rPr>
                <w:rFonts w:ascii="Calibri" w:hAnsi="Calibri" w:cs="Calibri"/>
                <w:sz w:val="22"/>
                <w:szCs w:val="22"/>
                <w:highlight w:val="yellow"/>
              </w:rPr>
              <w:br/>
              <w:t xml:space="preserve">A tech does enter </w:t>
            </w:r>
            <w:proofErr w:type="spellStart"/>
            <w:r>
              <w:rPr>
                <w:rFonts w:ascii="Calibri" w:hAnsi="Calibri" w:cs="Calibri"/>
                <w:sz w:val="22"/>
                <w:szCs w:val="22"/>
                <w:highlight w:val="yellow"/>
              </w:rPr>
              <w:t>rx</w:t>
            </w:r>
            <w:proofErr w:type="spellEnd"/>
            <w:r>
              <w:rPr>
                <w:rFonts w:ascii="Calibri" w:hAnsi="Calibri" w:cs="Calibri"/>
                <w:sz w:val="22"/>
                <w:szCs w:val="22"/>
                <w:highlight w:val="yellow"/>
              </w:rPr>
              <w:t xml:space="preserve"> info into the computer and also retrieves &amp; count meds.</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commentRangeStart w:id="3"/>
            <w:r>
              <w:t>Page 186</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r>
              <w:t>On page 186 of our text the heading</w:t>
            </w:r>
            <w:r>
              <w:rPr>
                <w:b/>
                <w:bCs/>
              </w:rPr>
              <w:t xml:space="preserve"> is </w:t>
            </w:r>
            <w:r>
              <w:rPr>
                <w:rStyle w:val="Strong"/>
              </w:rPr>
              <w:t>Red Book</w:t>
            </w:r>
            <w:r>
              <w:t xml:space="preserve"> and it states: "The familiar printed hard-copy </w:t>
            </w:r>
            <w:r>
              <w:rPr>
                <w:rStyle w:val="Emphasis"/>
              </w:rPr>
              <w:t>Red Book</w:t>
            </w:r>
            <w:r>
              <w:t xml:space="preserve">, always printed with a red cover as shown here [there is a photo at the bottom of the page] is no more. Beginning in 2011, the only </w:t>
            </w:r>
            <w:r>
              <w:rPr>
                <w:rStyle w:val="Emphasis"/>
              </w:rPr>
              <w:t>Red Book</w:t>
            </w:r>
            <w:r>
              <w:t xml:space="preserve"> format available will in fact not be a book at all, but a CD-ROM." The problem is that the picture at the bottom of the page is NOT </w:t>
            </w:r>
            <w:r>
              <w:rPr>
                <w:rStyle w:val="Emphasis"/>
              </w:rPr>
              <w:t>Red Book</w:t>
            </w:r>
            <w:r>
              <w:t xml:space="preserve">, but a PDR (Physician's Desk Reference). They are NOT the same book. The PDR is still available. Is the information concerning </w:t>
            </w:r>
            <w:r>
              <w:rPr>
                <w:rStyle w:val="Emphasis"/>
              </w:rPr>
              <w:t>Red Book</w:t>
            </w:r>
            <w:r>
              <w:t xml:space="preserve"> accurate and </w:t>
            </w:r>
            <w:r>
              <w:lastRenderedPageBreak/>
              <w:t>just the picture is incorrect?</w:t>
            </w:r>
            <w:commentRangeEnd w:id="3"/>
            <w:r w:rsidR="00720D85">
              <w:rPr>
                <w:rStyle w:val="CommentReference"/>
              </w:rPr>
              <w:commentReference w:id="3"/>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lastRenderedPageBreak/>
              <w:t>Midterm B</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pStyle w:val="NormalWeb"/>
              <w:spacing w:before="0" w:beforeAutospacing="0" w:after="0" w:afterAutospacing="0"/>
              <w:rPr>
                <w:rFonts w:ascii="Calibri" w:hAnsi="Calibri" w:cs="Calibri"/>
                <w:sz w:val="22"/>
                <w:szCs w:val="22"/>
                <w:highlight w:val="yellow"/>
              </w:rPr>
            </w:pPr>
            <w:r>
              <w:rPr>
                <w:rFonts w:ascii="Calibri" w:hAnsi="Calibri" w:cs="Calibri"/>
                <w:sz w:val="22"/>
                <w:szCs w:val="22"/>
                <w:highlight w:val="yellow"/>
              </w:rPr>
              <w:t>Just a heads-up, Midterm B #15 answer is wrong. The correct answer is B. It is also wrong on the Quiz for that Chapter.</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commentRangeStart w:id="4"/>
            <w:r>
              <w:t>Chapter 12</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r>
              <w:t xml:space="preserve">Missing images of full legible insurance cards and stock bottles p321 &amp; Carol </w:t>
            </w:r>
            <w:proofErr w:type="spellStart"/>
            <w:r>
              <w:t>Sindorf</w:t>
            </w:r>
            <w:proofErr w:type="spellEnd"/>
            <w:r>
              <w:t xml:space="preserve"> &lt;</w:t>
            </w:r>
            <w:hyperlink r:id="rId6" w:history="1">
              <w:r>
                <w:rPr>
                  <w:rStyle w:val="Hyperlink"/>
                </w:rPr>
                <w:t>clsindy@yahoo.com</w:t>
              </w:r>
            </w:hyperlink>
            <w:r>
              <w:t>&gt;324</w:t>
            </w:r>
            <w:commentRangeEnd w:id="4"/>
            <w:r w:rsidR="00720D85">
              <w:rPr>
                <w:rStyle w:val="CommentReference"/>
              </w:rPr>
              <w:commentReference w:id="4"/>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r>
              <w:t>Chapter 8 online lesson</w:t>
            </w:r>
          </w:p>
        </w:tc>
        <w:tc>
          <w:tcPr>
            <w:tcW w:w="8298" w:type="dxa"/>
            <w:tcBorders>
              <w:top w:val="nil"/>
              <w:left w:val="nil"/>
              <w:bottom w:val="single" w:sz="8" w:space="0" w:color="auto"/>
              <w:right w:val="single" w:sz="8" w:space="0" w:color="auto"/>
            </w:tcBorders>
            <w:tcMar>
              <w:top w:w="0" w:type="dxa"/>
              <w:left w:w="108" w:type="dxa"/>
              <w:bottom w:w="0" w:type="dxa"/>
              <w:right w:w="108" w:type="dxa"/>
            </w:tcMar>
          </w:tcPr>
          <w:p w:rsidR="001C3C8D" w:rsidRDefault="001C3C8D">
            <w:r>
              <w:t>Does Controlled Substances Scenario redirect path according to student answer, or is it not working properly?</w:t>
            </w:r>
          </w:p>
          <w:p w:rsidR="001C3C8D" w:rsidRDefault="001C3C8D"/>
          <w:p w:rsidR="001C3C8D" w:rsidRDefault="001C3C8D">
            <w:r>
              <w:rPr>
                <w:color w:val="FF0000"/>
              </w:rPr>
              <w:t xml:space="preserve">This scenario does not redirect. </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r>
              <w:t>Quizzes</w:t>
            </w:r>
          </w:p>
        </w:tc>
        <w:tc>
          <w:tcPr>
            <w:tcW w:w="8298" w:type="dxa"/>
            <w:tcBorders>
              <w:top w:val="nil"/>
              <w:left w:val="nil"/>
              <w:bottom w:val="single" w:sz="8" w:space="0" w:color="auto"/>
              <w:right w:val="single" w:sz="8" w:space="0" w:color="auto"/>
            </w:tcBorders>
            <w:tcMar>
              <w:top w:w="0" w:type="dxa"/>
              <w:left w:w="108" w:type="dxa"/>
              <w:bottom w:w="0" w:type="dxa"/>
              <w:right w:w="108" w:type="dxa"/>
            </w:tcMar>
          </w:tcPr>
          <w:p w:rsidR="001C3C8D" w:rsidRDefault="001C3C8D">
            <w:r>
              <w:t>On some of the quizzes, the questions asked are nowhere to be found in the book</w:t>
            </w:r>
          </w:p>
          <w:p w:rsidR="001C3C8D" w:rsidRDefault="001C3C8D"/>
          <w:p w:rsidR="001C3C8D" w:rsidRDefault="001C3C8D">
            <w:r>
              <w:rPr>
                <w:color w:val="FF0000"/>
              </w:rPr>
              <w:t xml:space="preserve">Please provide specific examples for correction. </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commentRangeStart w:id="5"/>
            <w:r>
              <w:t>Math</w:t>
            </w:r>
          </w:p>
        </w:tc>
        <w:tc>
          <w:tcPr>
            <w:tcW w:w="8298" w:type="dxa"/>
            <w:tcBorders>
              <w:top w:val="nil"/>
              <w:left w:val="nil"/>
              <w:bottom w:val="single" w:sz="8" w:space="0" w:color="auto"/>
              <w:right w:val="single" w:sz="8" w:space="0" w:color="auto"/>
            </w:tcBorders>
            <w:tcMar>
              <w:top w:w="0" w:type="dxa"/>
              <w:left w:w="108" w:type="dxa"/>
              <w:bottom w:w="0" w:type="dxa"/>
              <w:right w:w="108" w:type="dxa"/>
            </w:tcMar>
          </w:tcPr>
          <w:p w:rsidR="001C3C8D" w:rsidRDefault="001C3C8D">
            <w:r>
              <w:t>It would be REALLY helpful in addition to simply the letter answers for the Learning Assessment Questions on pages 137-139 for Chapter 5 (Pharmaceutical Measurements and Calculations) if we also had the calculations that were done. It would also be very helpful in this chapter if, instead of simply giving the formulas, they were followed by actual worked examples plugging in numbers and then showing an answer. It is too much math compressed down too much!</w:t>
            </w:r>
          </w:p>
          <w:p w:rsidR="001C3C8D" w:rsidRDefault="001C3C8D"/>
          <w:p w:rsidR="001C3C8D" w:rsidRDefault="001C3C8D">
            <w:r>
              <w:t>I specifically have issues with problems 15 and 20:</w:t>
            </w:r>
          </w:p>
          <w:p w:rsidR="001C3C8D" w:rsidRDefault="001C3C8D"/>
          <w:p w:rsidR="001C3C8D" w:rsidRDefault="001C3C8D">
            <w:r>
              <w:t>#15. What is the body-surface area of an adult woman who is 5'4"</w:t>
            </w:r>
            <w:bookmarkStart w:id="6" w:name="_GoBack"/>
            <w:bookmarkEnd w:id="6"/>
            <w:r>
              <w:t xml:space="preserve"> tall and weighs 115 </w:t>
            </w:r>
            <w:proofErr w:type="spellStart"/>
            <w:r>
              <w:t>lb</w:t>
            </w:r>
            <w:proofErr w:type="spellEnd"/>
            <w:r>
              <w:t>?</w:t>
            </w:r>
          </w:p>
          <w:p w:rsidR="001C3C8D" w:rsidRDefault="001C3C8D"/>
          <w:p w:rsidR="001C3C8D" w:rsidRDefault="001C3C8D">
            <w:r>
              <w:t>BSA(m2) = [height (in) X weight (</w:t>
            </w:r>
            <w:proofErr w:type="spellStart"/>
            <w:r>
              <w:t>lb</w:t>
            </w:r>
            <w:proofErr w:type="spellEnd"/>
            <w:r>
              <w:t>)/3131] X 1/2</w:t>
            </w:r>
          </w:p>
          <w:p w:rsidR="001C3C8D" w:rsidRDefault="001C3C8D">
            <w:r>
              <w:t>5'4" = 64 inches</w:t>
            </w:r>
          </w:p>
          <w:p w:rsidR="001C3C8D" w:rsidRDefault="001C3C8D">
            <w:r>
              <w:t xml:space="preserve">64 inches X 115 </w:t>
            </w:r>
            <w:proofErr w:type="spellStart"/>
            <w:r>
              <w:t>lb</w:t>
            </w:r>
            <w:proofErr w:type="spellEnd"/>
            <w:r>
              <w:t xml:space="preserve"> = 7,360</w:t>
            </w:r>
          </w:p>
          <w:p w:rsidR="001C3C8D" w:rsidRDefault="001C3C8D">
            <w:r>
              <w:t>7,360 /3131 = 2.35</w:t>
            </w:r>
          </w:p>
          <w:p w:rsidR="001C3C8D" w:rsidRDefault="001C3C8D">
            <w:r>
              <w:t>2.35 X 1/2 = 1.17m2</w:t>
            </w:r>
          </w:p>
          <w:p w:rsidR="001C3C8D" w:rsidRDefault="001C3C8D"/>
          <w:p w:rsidR="001C3C8D" w:rsidRDefault="001C3C8D">
            <w:r>
              <w:t>The answer keys states that B. 1.53m2 is the answer. I calculate that answer D. 1.17m2 is the answer, unless I am using the formula incorrectly.</w:t>
            </w:r>
          </w:p>
          <w:p w:rsidR="001C3C8D" w:rsidRDefault="001C3C8D"/>
          <w:p w:rsidR="001C3C8D" w:rsidRDefault="001C3C8D">
            <w:r>
              <w:t> </w:t>
            </w:r>
          </w:p>
          <w:p w:rsidR="001C3C8D" w:rsidRDefault="001C3C8D">
            <w:r>
              <w:t>#20. If 250mL of a 1:750 (v/v) solution is diluted to 1,000 mL, what is the ratio strength (v/v) of the final product?</w:t>
            </w:r>
          </w:p>
          <w:p w:rsidR="001C3C8D" w:rsidRDefault="001C3C8D">
            <w:r>
              <w:t>        A. 1:187.5</w:t>
            </w:r>
          </w:p>
          <w:p w:rsidR="001C3C8D" w:rsidRDefault="001C3C8D">
            <w:r>
              <w:t>        B. 1:333</w:t>
            </w:r>
          </w:p>
          <w:p w:rsidR="001C3C8D" w:rsidRDefault="001C3C8D">
            <w:r>
              <w:t>        C. 1:425</w:t>
            </w:r>
          </w:p>
          <w:p w:rsidR="001C3C8D" w:rsidRDefault="001C3C8D">
            <w:r>
              <w:t>        D. 1:625             Answer key states that A. 1:187.5 is the correct answer</w:t>
            </w:r>
          </w:p>
          <w:p w:rsidR="001C3C8D" w:rsidRDefault="001C3C8D"/>
          <w:p w:rsidR="001C3C8D" w:rsidRDefault="001C3C8D">
            <w:r>
              <w:t>I am not even certain how to work out this problem, but no matter what I try nothing I come up with comes close to answer A. Could someone please show me the correct calculations to solve this, please?</w:t>
            </w:r>
            <w:commentRangeEnd w:id="5"/>
            <w:r w:rsidR="00720D85">
              <w:rPr>
                <w:rStyle w:val="CommentReference"/>
              </w:rPr>
              <w:commentReference w:id="5"/>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Top 200</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Brand and Generics should be case sensitive, currently all caps.</w:t>
            </w:r>
          </w:p>
          <w:p w:rsidR="001C3C8D" w:rsidRDefault="001C3C8D">
            <w:pPr>
              <w:rPr>
                <w:highlight w:val="yellow"/>
              </w:rPr>
            </w:pPr>
            <w:r>
              <w:rPr>
                <w:highlight w:val="yellow"/>
              </w:rPr>
              <w:t xml:space="preserve">I was looking at the brand and generic list and the generic are capitalized this is going to confuse the students. Also I was doing the flashcards with the students and there were generics that were capitalized there. Also in the matching are there were capitalized </w:t>
            </w:r>
            <w:r>
              <w:rPr>
                <w:highlight w:val="yellow"/>
              </w:rPr>
              <w:lastRenderedPageBreak/>
              <w:t>generics.</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3C8D" w:rsidRDefault="001C3C8D"/>
        </w:tc>
        <w:tc>
          <w:tcPr>
            <w:tcW w:w="8298" w:type="dxa"/>
            <w:tcBorders>
              <w:top w:val="nil"/>
              <w:left w:val="nil"/>
              <w:bottom w:val="single" w:sz="8" w:space="0" w:color="auto"/>
              <w:right w:val="single" w:sz="8" w:space="0" w:color="auto"/>
            </w:tcBorders>
            <w:tcMar>
              <w:top w:w="0" w:type="dxa"/>
              <w:left w:w="108" w:type="dxa"/>
              <w:bottom w:w="0" w:type="dxa"/>
              <w:right w:w="108" w:type="dxa"/>
            </w:tcMar>
          </w:tcPr>
          <w:p w:rsidR="001C3C8D" w:rsidRDefault="001C3C8D"/>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Quiz 19A</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Duloxetine is misspelled</w:t>
            </w:r>
          </w:p>
        </w:tc>
      </w:tr>
      <w:tr w:rsidR="001C3C8D" w:rsidTr="001C3C8D">
        <w:trPr>
          <w:trHeight w:val="403"/>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Quiz 19B</w:t>
            </w:r>
          </w:p>
        </w:tc>
        <w:tc>
          <w:tcPr>
            <w:tcW w:w="8298" w:type="dxa"/>
            <w:tcBorders>
              <w:top w:val="nil"/>
              <w:left w:val="nil"/>
              <w:bottom w:val="single" w:sz="8" w:space="0" w:color="auto"/>
              <w:right w:val="single" w:sz="8" w:space="0" w:color="auto"/>
            </w:tcBorders>
            <w:tcMar>
              <w:top w:w="0" w:type="dxa"/>
              <w:left w:w="108" w:type="dxa"/>
              <w:bottom w:w="0" w:type="dxa"/>
              <w:right w:w="108" w:type="dxa"/>
            </w:tcMar>
            <w:hideMark/>
          </w:tcPr>
          <w:p w:rsidR="001C3C8D" w:rsidRDefault="001C3C8D">
            <w:pPr>
              <w:rPr>
                <w:highlight w:val="yellow"/>
              </w:rPr>
            </w:pPr>
            <w:r>
              <w:rPr>
                <w:highlight w:val="yellow"/>
              </w:rPr>
              <w:t>Duloxetine is misspelled</w:t>
            </w:r>
          </w:p>
        </w:tc>
      </w:tr>
    </w:tbl>
    <w:p w:rsidR="006D20B2" w:rsidRDefault="006D20B2"/>
    <w:sectPr w:rsidR="006D20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eresa Reilly" w:date="2012-01-18T15:04:00Z" w:initials="TR">
    <w:p w:rsidR="00462F52" w:rsidRDefault="00462F52">
      <w:pPr>
        <w:pStyle w:val="CommentText"/>
      </w:pPr>
      <w:r>
        <w:rPr>
          <w:rStyle w:val="CommentReference"/>
        </w:rPr>
        <w:annotationRef/>
      </w:r>
      <w:r>
        <w:rPr>
          <w:rStyle w:val="CommentReference"/>
        </w:rPr>
        <w:t>Show an example of a sample prescription.</w:t>
      </w:r>
    </w:p>
  </w:comment>
  <w:comment w:id="1" w:author="Teresa Reilly" w:date="2012-01-18T15:09:00Z" w:initials="TR">
    <w:p w:rsidR="00462F52" w:rsidRDefault="00462F52">
      <w:pPr>
        <w:pStyle w:val="CommentText"/>
      </w:pPr>
      <w:r>
        <w:rPr>
          <w:rStyle w:val="CommentReference"/>
        </w:rPr>
        <w:annotationRef/>
      </w:r>
      <w:r>
        <w:t>Change to D</w:t>
      </w:r>
      <w:r w:rsidR="0066712C">
        <w:t xml:space="preserve"> p. 616</w:t>
      </w:r>
    </w:p>
  </w:comment>
  <w:comment w:id="2" w:author="Teresa Reilly" w:date="2012-01-18T15:09:00Z" w:initials="TR">
    <w:p w:rsidR="00462F52" w:rsidRDefault="00462F52">
      <w:pPr>
        <w:pStyle w:val="CommentText"/>
      </w:pPr>
      <w:r>
        <w:rPr>
          <w:rStyle w:val="CommentReference"/>
        </w:rPr>
        <w:annotationRef/>
      </w:r>
      <w:r w:rsidR="0066712C">
        <w:rPr>
          <w:rStyle w:val="CommentReference"/>
        </w:rPr>
        <w:t>C</w:t>
      </w:r>
    </w:p>
  </w:comment>
  <w:comment w:id="3" w:author="Teresa Reilly" w:date="2012-01-18T12:51:00Z" w:initials="TR">
    <w:p w:rsidR="00462F52" w:rsidRDefault="00462F52">
      <w:pPr>
        <w:pStyle w:val="CommentText"/>
      </w:pPr>
      <w:r>
        <w:rPr>
          <w:rStyle w:val="CommentReference"/>
        </w:rPr>
        <w:annotationRef/>
      </w:r>
      <w:r>
        <w:t>Needs photo research</w:t>
      </w:r>
    </w:p>
  </w:comment>
  <w:comment w:id="4" w:author="Teresa Reilly" w:date="2012-01-18T15:11:00Z" w:initials="TR">
    <w:p w:rsidR="00462F52" w:rsidRDefault="00462F52">
      <w:pPr>
        <w:pStyle w:val="CommentText"/>
      </w:pPr>
      <w:r>
        <w:rPr>
          <w:rStyle w:val="CommentReference"/>
        </w:rPr>
        <w:annotationRef/>
      </w:r>
      <w:r w:rsidR="0066712C">
        <w:t>Match to exercise on pg. 321</w:t>
      </w:r>
    </w:p>
  </w:comment>
  <w:comment w:id="5" w:author="Teresa Reilly" w:date="2012-01-18T12:51:00Z" w:initials="TR">
    <w:p w:rsidR="00462F52" w:rsidRDefault="00462F52">
      <w:pPr>
        <w:pStyle w:val="CommentText"/>
      </w:pPr>
      <w:r>
        <w:rPr>
          <w:rStyle w:val="CommentReference"/>
        </w:rPr>
        <w:annotationRef/>
      </w:r>
      <w:r>
        <w:t>Needs new content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D"/>
    <w:rsid w:val="001C3C8D"/>
    <w:rsid w:val="00462F52"/>
    <w:rsid w:val="0066712C"/>
    <w:rsid w:val="006D20B2"/>
    <w:rsid w:val="0072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C8D"/>
    <w:rPr>
      <w:color w:val="0000FF"/>
      <w:u w:val="single"/>
    </w:rPr>
  </w:style>
  <w:style w:type="paragraph" w:styleId="NormalWeb">
    <w:name w:val="Normal (Web)"/>
    <w:basedOn w:val="Normal"/>
    <w:uiPriority w:val="99"/>
    <w:unhideWhenUsed/>
    <w:rsid w:val="001C3C8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C3C8D"/>
    <w:rPr>
      <w:b/>
      <w:bCs/>
    </w:rPr>
  </w:style>
  <w:style w:type="character" w:styleId="Emphasis">
    <w:name w:val="Emphasis"/>
    <w:basedOn w:val="DefaultParagraphFont"/>
    <w:uiPriority w:val="20"/>
    <w:qFormat/>
    <w:rsid w:val="001C3C8D"/>
    <w:rPr>
      <w:i/>
      <w:iCs/>
    </w:rPr>
  </w:style>
  <w:style w:type="character" w:styleId="CommentReference">
    <w:name w:val="annotation reference"/>
    <w:basedOn w:val="DefaultParagraphFont"/>
    <w:uiPriority w:val="99"/>
    <w:semiHidden/>
    <w:unhideWhenUsed/>
    <w:rsid w:val="00720D85"/>
    <w:rPr>
      <w:sz w:val="16"/>
      <w:szCs w:val="16"/>
    </w:rPr>
  </w:style>
  <w:style w:type="paragraph" w:styleId="CommentText">
    <w:name w:val="annotation text"/>
    <w:basedOn w:val="Normal"/>
    <w:link w:val="CommentTextChar"/>
    <w:uiPriority w:val="99"/>
    <w:semiHidden/>
    <w:unhideWhenUsed/>
    <w:rsid w:val="00720D85"/>
    <w:rPr>
      <w:sz w:val="20"/>
      <w:szCs w:val="20"/>
    </w:rPr>
  </w:style>
  <w:style w:type="character" w:customStyle="1" w:styleId="CommentTextChar">
    <w:name w:val="Comment Text Char"/>
    <w:basedOn w:val="DefaultParagraphFont"/>
    <w:link w:val="CommentText"/>
    <w:uiPriority w:val="99"/>
    <w:semiHidden/>
    <w:rsid w:val="00720D8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0D85"/>
    <w:rPr>
      <w:b/>
      <w:bCs/>
    </w:rPr>
  </w:style>
  <w:style w:type="character" w:customStyle="1" w:styleId="CommentSubjectChar">
    <w:name w:val="Comment Subject Char"/>
    <w:basedOn w:val="CommentTextChar"/>
    <w:link w:val="CommentSubject"/>
    <w:uiPriority w:val="99"/>
    <w:semiHidden/>
    <w:rsid w:val="00720D85"/>
    <w:rPr>
      <w:rFonts w:ascii="Calibri" w:hAnsi="Calibri" w:cs="Calibri"/>
      <w:b/>
      <w:bCs/>
      <w:sz w:val="20"/>
      <w:szCs w:val="20"/>
    </w:rPr>
  </w:style>
  <w:style w:type="paragraph" w:styleId="BalloonText">
    <w:name w:val="Balloon Text"/>
    <w:basedOn w:val="Normal"/>
    <w:link w:val="BalloonTextChar"/>
    <w:uiPriority w:val="99"/>
    <w:semiHidden/>
    <w:unhideWhenUsed/>
    <w:rsid w:val="00720D85"/>
    <w:rPr>
      <w:rFonts w:ascii="Tahoma" w:hAnsi="Tahoma" w:cs="Tahoma"/>
      <w:sz w:val="16"/>
      <w:szCs w:val="16"/>
    </w:rPr>
  </w:style>
  <w:style w:type="character" w:customStyle="1" w:styleId="BalloonTextChar">
    <w:name w:val="Balloon Text Char"/>
    <w:basedOn w:val="DefaultParagraphFont"/>
    <w:link w:val="BalloonText"/>
    <w:uiPriority w:val="99"/>
    <w:semiHidden/>
    <w:rsid w:val="00720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3C8D"/>
    <w:rPr>
      <w:color w:val="0000FF"/>
      <w:u w:val="single"/>
    </w:rPr>
  </w:style>
  <w:style w:type="paragraph" w:styleId="NormalWeb">
    <w:name w:val="Normal (Web)"/>
    <w:basedOn w:val="Normal"/>
    <w:uiPriority w:val="99"/>
    <w:unhideWhenUsed/>
    <w:rsid w:val="001C3C8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C3C8D"/>
    <w:rPr>
      <w:b/>
      <w:bCs/>
    </w:rPr>
  </w:style>
  <w:style w:type="character" w:styleId="Emphasis">
    <w:name w:val="Emphasis"/>
    <w:basedOn w:val="DefaultParagraphFont"/>
    <w:uiPriority w:val="20"/>
    <w:qFormat/>
    <w:rsid w:val="001C3C8D"/>
    <w:rPr>
      <w:i/>
      <w:iCs/>
    </w:rPr>
  </w:style>
  <w:style w:type="character" w:styleId="CommentReference">
    <w:name w:val="annotation reference"/>
    <w:basedOn w:val="DefaultParagraphFont"/>
    <w:uiPriority w:val="99"/>
    <w:semiHidden/>
    <w:unhideWhenUsed/>
    <w:rsid w:val="00720D85"/>
    <w:rPr>
      <w:sz w:val="16"/>
      <w:szCs w:val="16"/>
    </w:rPr>
  </w:style>
  <w:style w:type="paragraph" w:styleId="CommentText">
    <w:name w:val="annotation text"/>
    <w:basedOn w:val="Normal"/>
    <w:link w:val="CommentTextChar"/>
    <w:uiPriority w:val="99"/>
    <w:semiHidden/>
    <w:unhideWhenUsed/>
    <w:rsid w:val="00720D85"/>
    <w:rPr>
      <w:sz w:val="20"/>
      <w:szCs w:val="20"/>
    </w:rPr>
  </w:style>
  <w:style w:type="character" w:customStyle="1" w:styleId="CommentTextChar">
    <w:name w:val="Comment Text Char"/>
    <w:basedOn w:val="DefaultParagraphFont"/>
    <w:link w:val="CommentText"/>
    <w:uiPriority w:val="99"/>
    <w:semiHidden/>
    <w:rsid w:val="00720D8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0D85"/>
    <w:rPr>
      <w:b/>
      <w:bCs/>
    </w:rPr>
  </w:style>
  <w:style w:type="character" w:customStyle="1" w:styleId="CommentSubjectChar">
    <w:name w:val="Comment Subject Char"/>
    <w:basedOn w:val="CommentTextChar"/>
    <w:link w:val="CommentSubject"/>
    <w:uiPriority w:val="99"/>
    <w:semiHidden/>
    <w:rsid w:val="00720D85"/>
    <w:rPr>
      <w:rFonts w:ascii="Calibri" w:hAnsi="Calibri" w:cs="Calibri"/>
      <w:b/>
      <w:bCs/>
      <w:sz w:val="20"/>
      <w:szCs w:val="20"/>
    </w:rPr>
  </w:style>
  <w:style w:type="paragraph" w:styleId="BalloonText">
    <w:name w:val="Balloon Text"/>
    <w:basedOn w:val="Normal"/>
    <w:link w:val="BalloonTextChar"/>
    <w:uiPriority w:val="99"/>
    <w:semiHidden/>
    <w:unhideWhenUsed/>
    <w:rsid w:val="00720D85"/>
    <w:rPr>
      <w:rFonts w:ascii="Tahoma" w:hAnsi="Tahoma" w:cs="Tahoma"/>
      <w:sz w:val="16"/>
      <w:szCs w:val="16"/>
    </w:rPr>
  </w:style>
  <w:style w:type="character" w:customStyle="1" w:styleId="BalloonTextChar">
    <w:name w:val="Balloon Text Char"/>
    <w:basedOn w:val="DefaultParagraphFont"/>
    <w:link w:val="BalloonText"/>
    <w:uiPriority w:val="99"/>
    <w:semiHidden/>
    <w:rsid w:val="00720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sindy@yahoo.com"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Reilly</dc:creator>
  <cp:lastModifiedBy>Teresa Reilly</cp:lastModifiedBy>
  <cp:revision>3</cp:revision>
  <dcterms:created xsi:type="dcterms:W3CDTF">2012-01-18T17:48:00Z</dcterms:created>
  <dcterms:modified xsi:type="dcterms:W3CDTF">2012-01-18T20:11:00Z</dcterms:modified>
</cp:coreProperties>
</file>