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F39" w:rsidRPr="00072C4A" w:rsidRDefault="0008412A" w:rsidP="00C169F1">
      <w:pPr>
        <w:jc w:val="right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5444BD" wp14:editId="2DDDC6BA">
            <wp:simplePos x="0" y="0"/>
            <wp:positionH relativeFrom="margin">
              <wp:align>left</wp:align>
            </wp:positionH>
            <wp:positionV relativeFrom="paragraph">
              <wp:posOffset>924176</wp:posOffset>
            </wp:positionV>
            <wp:extent cx="1839595" cy="2349500"/>
            <wp:effectExtent l="0" t="0" r="8255" b="0"/>
            <wp:wrapSquare wrapText="bothSides"/>
            <wp:docPr id="2" name="Picture 2" descr="http://www.jblearning.com/covers/full/12841013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jblearning.com/covers/full/12841013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1F39" w:rsidRPr="00072C4A">
        <w:rPr>
          <w:rFonts w:asciiTheme="minorHAnsi" w:hAnsiTheme="minorHAnsi"/>
          <w:noProof/>
        </w:rPr>
        <w:drawing>
          <wp:inline distT="0" distB="0" distL="0" distR="0" wp14:anchorId="35E1F9CA" wp14:editId="39387A86">
            <wp:extent cx="2322576" cy="987552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BLRN_LOGO_JBLAs4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987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3D19" w:rsidRPr="00072C4A">
        <w:rPr>
          <w:rFonts w:asciiTheme="minorHAnsi" w:hAnsiTheme="minorHAnsi"/>
        </w:rPr>
        <w:br/>
      </w:r>
    </w:p>
    <w:p w:rsidR="00BC3D19" w:rsidRPr="00072C4A" w:rsidRDefault="0008412A" w:rsidP="005E1F39">
      <w:pPr>
        <w:jc w:val="right"/>
        <w:rPr>
          <w:rFonts w:asciiTheme="minorHAnsi" w:hAnsiTheme="minorHAnsi"/>
        </w:rPr>
      </w:pPr>
      <w:r w:rsidRPr="00072C4A">
        <w:rPr>
          <w:rFonts w:asciiTheme="minorHAnsi" w:hAnsiTheme="minorHAnsi"/>
          <w:noProof/>
        </w:rPr>
        <w:t xml:space="preserve"> </w:t>
      </w:r>
    </w:p>
    <w:p w:rsidR="0008412A" w:rsidRPr="00D44CE4" w:rsidRDefault="0008412A" w:rsidP="005E1F39">
      <w:pPr>
        <w:jc w:val="center"/>
        <w:rPr>
          <w:rFonts w:asciiTheme="minorHAnsi" w:hAnsiTheme="minorHAnsi"/>
          <w:i/>
          <w:sz w:val="52"/>
          <w:szCs w:val="52"/>
        </w:rPr>
      </w:pPr>
      <w:r w:rsidRPr="00D44CE4">
        <w:rPr>
          <w:rFonts w:asciiTheme="minorHAnsi" w:hAnsiTheme="minorHAnsi"/>
          <w:i/>
          <w:sz w:val="52"/>
          <w:szCs w:val="52"/>
        </w:rPr>
        <w:t xml:space="preserve">Practical Applications in </w:t>
      </w:r>
    </w:p>
    <w:p w:rsidR="00C169F1" w:rsidRPr="00D44CE4" w:rsidRDefault="0008412A" w:rsidP="005E1F39">
      <w:pPr>
        <w:jc w:val="center"/>
        <w:rPr>
          <w:rFonts w:asciiTheme="minorHAnsi" w:hAnsiTheme="minorHAnsi"/>
          <w:i/>
        </w:rPr>
      </w:pPr>
      <w:r w:rsidRPr="00D44CE4">
        <w:rPr>
          <w:rFonts w:asciiTheme="minorHAnsi" w:hAnsiTheme="minorHAnsi"/>
          <w:i/>
          <w:sz w:val="52"/>
          <w:szCs w:val="52"/>
        </w:rPr>
        <w:t>Sports Nutrition</w:t>
      </w:r>
    </w:p>
    <w:p w:rsidR="005E1F39" w:rsidRPr="00072C4A" w:rsidRDefault="0008412A" w:rsidP="005E1F3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sz w:val="52"/>
          <w:szCs w:val="52"/>
        </w:rPr>
        <w:t>Fifth</w:t>
      </w:r>
      <w:r w:rsidR="005E1F39" w:rsidRPr="00072C4A">
        <w:rPr>
          <w:rFonts w:asciiTheme="minorHAnsi" w:hAnsiTheme="minorHAnsi"/>
          <w:sz w:val="52"/>
          <w:szCs w:val="52"/>
        </w:rPr>
        <w:t xml:space="preserve"> Edition</w:t>
      </w:r>
      <w:r w:rsidR="005E1F39" w:rsidRPr="00072C4A">
        <w:rPr>
          <w:rFonts w:asciiTheme="minorHAnsi" w:hAnsiTheme="minorHAnsi"/>
        </w:rPr>
        <w:br/>
      </w:r>
      <w:r w:rsidR="005E1F39" w:rsidRPr="00072C4A">
        <w:rPr>
          <w:rFonts w:asciiTheme="minorHAnsi" w:hAnsiTheme="minorHAnsi"/>
          <w:sz w:val="52"/>
          <w:szCs w:val="52"/>
        </w:rPr>
        <w:t>Transition Guide</w:t>
      </w:r>
    </w:p>
    <w:p w:rsidR="00BC3D19" w:rsidRPr="00072C4A" w:rsidRDefault="005E1F39" w:rsidP="00BC3D19">
      <w:pPr>
        <w:rPr>
          <w:rFonts w:asciiTheme="minorHAnsi" w:hAnsiTheme="minorHAnsi"/>
        </w:rPr>
      </w:pPr>
      <w:r w:rsidRPr="00072C4A">
        <w:rPr>
          <w:rFonts w:asciiTheme="minorHAnsi" w:hAnsiTheme="minorHAnsi"/>
        </w:rPr>
        <w:br/>
      </w:r>
    </w:p>
    <w:p w:rsidR="000B0289" w:rsidRPr="00072C4A" w:rsidRDefault="000B0289" w:rsidP="009A3A23">
      <w:pPr>
        <w:rPr>
          <w:rFonts w:asciiTheme="minorHAnsi" w:hAnsiTheme="minorHAnsi"/>
        </w:rPr>
      </w:pPr>
    </w:p>
    <w:p w:rsidR="00BC3D19" w:rsidRPr="00072C4A" w:rsidRDefault="005E1F39" w:rsidP="009A3A23">
      <w:pPr>
        <w:rPr>
          <w:rFonts w:asciiTheme="minorHAnsi" w:hAnsiTheme="minorHAnsi"/>
          <w:sz w:val="22"/>
          <w:szCs w:val="22"/>
        </w:rPr>
      </w:pPr>
      <w:r w:rsidRPr="00072C4A">
        <w:rPr>
          <w:rFonts w:asciiTheme="minorHAnsi" w:hAnsiTheme="minorHAnsi"/>
          <w:sz w:val="22"/>
          <w:szCs w:val="22"/>
        </w:rPr>
        <w:t xml:space="preserve">By </w:t>
      </w:r>
      <w:r w:rsidR="0008412A">
        <w:rPr>
          <w:rFonts w:asciiTheme="minorHAnsi" w:hAnsiTheme="minorHAnsi"/>
          <w:sz w:val="22"/>
          <w:szCs w:val="22"/>
        </w:rPr>
        <w:t xml:space="preserve">Heather Hedrick Fink and Alan E. </w:t>
      </w:r>
      <w:proofErr w:type="spellStart"/>
      <w:r w:rsidR="0008412A">
        <w:rPr>
          <w:rFonts w:asciiTheme="minorHAnsi" w:hAnsiTheme="minorHAnsi"/>
          <w:sz w:val="22"/>
          <w:szCs w:val="22"/>
        </w:rPr>
        <w:t>Mikesky</w:t>
      </w:r>
      <w:proofErr w:type="spellEnd"/>
      <w:r w:rsidR="0008412A">
        <w:rPr>
          <w:rFonts w:asciiTheme="minorHAnsi" w:hAnsiTheme="minorHAnsi"/>
          <w:sz w:val="22"/>
          <w:szCs w:val="22"/>
        </w:rPr>
        <w:br/>
        <w:t xml:space="preserve">ISBN-13: </w:t>
      </w:r>
      <w:bookmarkStart w:id="0" w:name="_GoBack"/>
      <w:r w:rsidR="0008412A">
        <w:rPr>
          <w:rFonts w:asciiTheme="minorHAnsi" w:hAnsiTheme="minorHAnsi"/>
          <w:sz w:val="22"/>
          <w:szCs w:val="22"/>
        </w:rPr>
        <w:t>9781284101393</w:t>
      </w:r>
      <w:bookmarkEnd w:id="0"/>
      <w:r w:rsidRPr="00072C4A">
        <w:rPr>
          <w:rFonts w:asciiTheme="minorHAnsi" w:hAnsiTheme="minorHAnsi"/>
          <w:sz w:val="22"/>
          <w:szCs w:val="22"/>
        </w:rPr>
        <w:br/>
      </w:r>
      <w:r w:rsidR="00BC3D19" w:rsidRPr="00072C4A">
        <w:rPr>
          <w:rFonts w:asciiTheme="minorHAnsi" w:hAnsiTheme="minorHAnsi"/>
          <w:sz w:val="22"/>
          <w:szCs w:val="22"/>
        </w:rPr>
        <w:t xml:space="preserve">Paperback </w:t>
      </w:r>
      <w:r w:rsidR="00127554" w:rsidRPr="00072C4A">
        <w:rPr>
          <w:rFonts w:asciiTheme="minorHAnsi" w:hAnsiTheme="minorHAnsi"/>
          <w:sz w:val="22"/>
          <w:szCs w:val="22"/>
        </w:rPr>
        <w:t>with</w:t>
      </w:r>
      <w:r w:rsidR="00C169F1" w:rsidRPr="00072C4A">
        <w:rPr>
          <w:rFonts w:asciiTheme="minorHAnsi" w:hAnsiTheme="minorHAnsi"/>
          <w:sz w:val="22"/>
          <w:szCs w:val="22"/>
        </w:rPr>
        <w:t xml:space="preserve"> </w:t>
      </w:r>
      <w:r w:rsidR="0008412A">
        <w:rPr>
          <w:rFonts w:asciiTheme="minorHAnsi" w:hAnsiTheme="minorHAnsi"/>
          <w:sz w:val="22"/>
          <w:szCs w:val="22"/>
        </w:rPr>
        <w:t>Navigate 2 Advantage Access</w:t>
      </w:r>
      <w:r w:rsidR="0008412A">
        <w:rPr>
          <w:rFonts w:asciiTheme="minorHAnsi" w:hAnsiTheme="minorHAnsi"/>
          <w:sz w:val="22"/>
          <w:szCs w:val="22"/>
        </w:rPr>
        <w:br/>
        <w:t>52</w:t>
      </w:r>
      <w:r w:rsidR="000B0289" w:rsidRPr="00072C4A">
        <w:rPr>
          <w:rFonts w:asciiTheme="minorHAnsi" w:hAnsiTheme="minorHAnsi"/>
          <w:sz w:val="22"/>
          <w:szCs w:val="22"/>
        </w:rPr>
        <w:t>0 Pages • ©2018</w:t>
      </w:r>
    </w:p>
    <w:p w:rsidR="002625FF" w:rsidRPr="00072C4A" w:rsidRDefault="002625FF" w:rsidP="00C169F1">
      <w:pPr>
        <w:rPr>
          <w:rFonts w:asciiTheme="minorHAnsi" w:hAnsiTheme="minorHAnsi" w:cs="Arial"/>
          <w:b/>
        </w:rPr>
      </w:pPr>
    </w:p>
    <w:p w:rsidR="002625FF" w:rsidRPr="00072C4A" w:rsidRDefault="002625FF" w:rsidP="00127554">
      <w:pPr>
        <w:spacing w:line="360" w:lineRule="auto"/>
        <w:rPr>
          <w:rFonts w:asciiTheme="minorHAnsi" w:hAnsiTheme="minorHAnsi" w:cs="Arial"/>
          <w:b/>
        </w:rPr>
      </w:pPr>
    </w:p>
    <w:p w:rsidR="00BC3D19" w:rsidRPr="00072C4A" w:rsidRDefault="00C169F1" w:rsidP="00127554">
      <w:pPr>
        <w:spacing w:line="360" w:lineRule="auto"/>
        <w:rPr>
          <w:rFonts w:asciiTheme="minorHAnsi" w:hAnsiTheme="minorHAnsi" w:cs="Arial"/>
          <w:b/>
        </w:rPr>
      </w:pPr>
      <w:r w:rsidRPr="00072C4A">
        <w:rPr>
          <w:rFonts w:asciiTheme="minorHAnsi" w:hAnsiTheme="minorHAnsi" w:cs="Arial"/>
          <w:b/>
        </w:rPr>
        <w:t>NEW TO THIS EDITION</w:t>
      </w:r>
    </w:p>
    <w:p w:rsidR="00C169F1" w:rsidRPr="00072C4A" w:rsidRDefault="00C169F1" w:rsidP="00C169F1">
      <w:pPr>
        <w:widowControl w:val="0"/>
        <w:shd w:val="clear" w:color="auto" w:fill="FFFFFF"/>
        <w:autoSpaceDE w:val="0"/>
        <w:autoSpaceDN w:val="0"/>
        <w:adjustRightInd w:val="0"/>
        <w:rPr>
          <w:rFonts w:asciiTheme="minorHAnsi" w:eastAsiaTheme="minorHAnsi" w:hAnsiTheme="minorHAnsi"/>
        </w:rPr>
      </w:pPr>
      <w:r w:rsidRPr="00072C4A">
        <w:rPr>
          <w:rFonts w:asciiTheme="minorHAnsi" w:hAnsiTheme="minorHAnsi"/>
        </w:rPr>
        <w:t>The</w:t>
      </w:r>
      <w:r w:rsidR="0008412A">
        <w:rPr>
          <w:rFonts w:asciiTheme="minorHAnsi" w:hAnsiTheme="minorHAnsi"/>
        </w:rPr>
        <w:t xml:space="preserve"> fifth</w:t>
      </w:r>
      <w:r w:rsidRPr="00072C4A">
        <w:rPr>
          <w:rFonts w:asciiTheme="minorHAnsi" w:hAnsiTheme="minorHAnsi"/>
        </w:rPr>
        <w:t xml:space="preserve"> edition of </w:t>
      </w:r>
      <w:r w:rsidR="0008412A">
        <w:rPr>
          <w:rFonts w:asciiTheme="minorHAnsi" w:hAnsiTheme="minorHAnsi"/>
          <w:b/>
          <w:i/>
          <w:iCs/>
        </w:rPr>
        <w:t>Practical Applications in Sports Nutrition</w:t>
      </w:r>
      <w:r w:rsidRPr="00072C4A">
        <w:rPr>
          <w:rFonts w:asciiTheme="minorHAnsi" w:hAnsiTheme="minorHAnsi"/>
          <w:i/>
          <w:iCs/>
        </w:rPr>
        <w:t xml:space="preserve"> </w:t>
      </w:r>
      <w:r w:rsidRPr="00072C4A">
        <w:rPr>
          <w:rFonts w:asciiTheme="minorHAnsi" w:hAnsiTheme="minorHAnsi"/>
        </w:rPr>
        <w:t>has been expanded</w:t>
      </w:r>
      <w:r w:rsidR="00D44CE4">
        <w:rPr>
          <w:rFonts w:asciiTheme="minorHAnsi" w:hAnsiTheme="minorHAnsi"/>
        </w:rPr>
        <w:t xml:space="preserve"> </w:t>
      </w:r>
      <w:r w:rsidRPr="00072C4A">
        <w:rPr>
          <w:rFonts w:asciiTheme="minorHAnsi" w:hAnsiTheme="minorHAnsi"/>
        </w:rPr>
        <w:t xml:space="preserve">and revised to include the most accurate and relevant </w:t>
      </w:r>
      <w:r w:rsidR="000B0289" w:rsidRPr="00072C4A">
        <w:rPr>
          <w:rFonts w:asciiTheme="minorHAnsi" w:hAnsiTheme="minorHAnsi"/>
        </w:rPr>
        <w:t>information</w:t>
      </w:r>
      <w:r w:rsidRPr="00072C4A">
        <w:rPr>
          <w:rFonts w:asciiTheme="minorHAnsi" w:hAnsiTheme="minorHAnsi"/>
        </w:rPr>
        <w:t xml:space="preserve"> </w:t>
      </w:r>
      <w:r w:rsidR="0008412A">
        <w:rPr>
          <w:rFonts w:asciiTheme="minorHAnsi" w:hAnsiTheme="minorHAnsi"/>
        </w:rPr>
        <w:t>related to diet and athletic performance</w:t>
      </w:r>
      <w:r w:rsidR="00D44CE4">
        <w:rPr>
          <w:rFonts w:asciiTheme="minorHAnsi" w:hAnsiTheme="minorHAnsi"/>
        </w:rPr>
        <w:t>,</w:t>
      </w:r>
      <w:r w:rsidR="0008412A">
        <w:rPr>
          <w:rFonts w:asciiTheme="minorHAnsi" w:hAnsiTheme="minorHAnsi"/>
        </w:rPr>
        <w:t xml:space="preserve"> allowing learners to assist athletes and fitness enthusiasts in achieving their personal performance goals.</w:t>
      </w:r>
      <w:r w:rsidRPr="00072C4A">
        <w:rPr>
          <w:rFonts w:asciiTheme="minorHAnsi" w:eastAsiaTheme="minorHAnsi" w:hAnsiTheme="minorHAnsi"/>
        </w:rPr>
        <w:t xml:space="preserve"> </w:t>
      </w:r>
    </w:p>
    <w:p w:rsidR="0008412A" w:rsidRDefault="0008412A" w:rsidP="0008412A">
      <w:pPr>
        <w:spacing w:after="160" w:line="259" w:lineRule="auto"/>
        <w:rPr>
          <w:rFonts w:asciiTheme="minorHAnsi" w:hAnsiTheme="minorHAnsi"/>
          <w:b/>
        </w:rPr>
      </w:pPr>
    </w:p>
    <w:p w:rsidR="000B0289" w:rsidRDefault="0008412A" w:rsidP="0008412A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 w:rsidRPr="0008412A">
        <w:rPr>
          <w:rFonts w:asciiTheme="minorHAnsi" w:hAnsiTheme="minorHAnsi"/>
          <w:b/>
        </w:rPr>
        <w:t xml:space="preserve">NEW – </w:t>
      </w:r>
      <w:r w:rsidRPr="0008412A">
        <w:rPr>
          <w:rFonts w:asciiTheme="minorHAnsi" w:hAnsiTheme="minorHAnsi"/>
        </w:rPr>
        <w:t xml:space="preserve">Features a full-color design and art program, adding a new dimension to the text’s readability that serves to better highlight key features </w:t>
      </w:r>
    </w:p>
    <w:p w:rsidR="00F21BA4" w:rsidRDefault="0008412A" w:rsidP="00386908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NEW –</w:t>
      </w:r>
      <w:r>
        <w:rPr>
          <w:rFonts w:asciiTheme="minorHAnsi" w:hAnsiTheme="minorHAnsi"/>
        </w:rPr>
        <w:t xml:space="preserve"> Every new print copy includes </w:t>
      </w:r>
      <w:r w:rsidRPr="0008412A">
        <w:rPr>
          <w:rFonts w:asciiTheme="minorHAnsi" w:hAnsiTheme="minorHAnsi"/>
          <w:b/>
        </w:rPr>
        <w:t>Navigate 2 Advantage Access</w:t>
      </w:r>
      <w:r>
        <w:rPr>
          <w:rFonts w:asciiTheme="minorHAnsi" w:hAnsiTheme="minorHAnsi"/>
        </w:rPr>
        <w:t xml:space="preserve"> </w:t>
      </w:r>
      <w:r w:rsidR="00D44CE4">
        <w:rPr>
          <w:rFonts w:asciiTheme="minorHAnsi" w:hAnsiTheme="minorHAnsi"/>
        </w:rPr>
        <w:t>which</w:t>
      </w:r>
      <w:r w:rsidR="00D44CE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unlocks a full Interactive eBook, 19 </w:t>
      </w:r>
      <w:r w:rsidR="00D44CE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nimations, </w:t>
      </w:r>
      <w:r w:rsidR="00D44CE4">
        <w:rPr>
          <w:rFonts w:asciiTheme="minorHAnsi" w:hAnsiTheme="minorHAnsi"/>
        </w:rPr>
        <w:t>w</w:t>
      </w:r>
      <w:r>
        <w:rPr>
          <w:rFonts w:asciiTheme="minorHAnsi" w:hAnsiTheme="minorHAnsi"/>
        </w:rPr>
        <w:t xml:space="preserve">orkbook </w:t>
      </w:r>
      <w:r w:rsidR="00D44CE4">
        <w:rPr>
          <w:rFonts w:asciiTheme="minorHAnsi" w:hAnsiTheme="minorHAnsi"/>
        </w:rPr>
        <w:t>a</w:t>
      </w:r>
      <w:r>
        <w:rPr>
          <w:rFonts w:asciiTheme="minorHAnsi" w:hAnsiTheme="minorHAnsi"/>
        </w:rPr>
        <w:t xml:space="preserve">ctivities, </w:t>
      </w:r>
      <w:r w:rsidR="00D44CE4">
        <w:rPr>
          <w:rFonts w:asciiTheme="minorHAnsi" w:hAnsiTheme="minorHAnsi"/>
        </w:rPr>
        <w:t>a</w:t>
      </w:r>
      <w:r>
        <w:rPr>
          <w:rFonts w:asciiTheme="minorHAnsi" w:hAnsiTheme="minorHAnsi"/>
        </w:rPr>
        <w:t>ssessments and</w:t>
      </w:r>
      <w:r w:rsidR="00D44CE4">
        <w:rPr>
          <w:rFonts w:asciiTheme="minorHAnsi" w:hAnsiTheme="minorHAnsi"/>
        </w:rPr>
        <w:t xml:space="preserve"> study aids,</w:t>
      </w:r>
      <w:r>
        <w:rPr>
          <w:rFonts w:asciiTheme="minorHAnsi" w:hAnsiTheme="minorHAnsi"/>
        </w:rPr>
        <w:t xml:space="preserve"> </w:t>
      </w:r>
      <w:r w:rsidR="00D44CE4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nstructor </w:t>
      </w:r>
      <w:r w:rsidR="00D44CE4">
        <w:rPr>
          <w:rFonts w:asciiTheme="minorHAnsi" w:hAnsiTheme="minorHAnsi"/>
        </w:rPr>
        <w:t>resources, and m</w:t>
      </w:r>
      <w:r>
        <w:rPr>
          <w:rFonts w:asciiTheme="minorHAnsi" w:hAnsiTheme="minorHAnsi"/>
        </w:rPr>
        <w:t xml:space="preserve">ore! </w:t>
      </w:r>
    </w:p>
    <w:p w:rsidR="00D44CE4" w:rsidRDefault="00F21BA4" w:rsidP="00F21BA4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NEW –</w:t>
      </w:r>
      <w:r>
        <w:rPr>
          <w:rFonts w:asciiTheme="minorHAnsi" w:hAnsiTheme="minorHAnsi"/>
        </w:rPr>
        <w:t xml:space="preserve"> Addresses the </w:t>
      </w:r>
      <w:r>
        <w:rPr>
          <w:rFonts w:asciiTheme="minorHAnsi" w:hAnsiTheme="minorHAnsi"/>
          <w:i/>
        </w:rPr>
        <w:t>2015-2020 Dietary Guidelines for Americans</w:t>
      </w:r>
      <w:r w:rsidR="00D44CE4">
        <w:rPr>
          <w:rFonts w:asciiTheme="minorHAnsi" w:hAnsiTheme="minorHAnsi"/>
        </w:rPr>
        <w:t xml:space="preserve"> and revised Nutrition Facts label</w:t>
      </w:r>
    </w:p>
    <w:p w:rsidR="00BC3D19" w:rsidRDefault="00D44CE4" w:rsidP="00D44CE4">
      <w:pPr>
        <w:pStyle w:val="ListParagraph"/>
        <w:numPr>
          <w:ilvl w:val="0"/>
          <w:numId w:val="24"/>
        </w:num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>NEW –</w:t>
      </w:r>
      <w:r>
        <w:rPr>
          <w:rFonts w:asciiTheme="minorHAnsi" w:hAnsiTheme="minorHAnsi"/>
        </w:rPr>
        <w:t xml:space="preserve"> Incorporates the 2016 “</w:t>
      </w:r>
      <w:r w:rsidRPr="00D44CE4">
        <w:rPr>
          <w:rFonts w:asciiTheme="minorHAnsi" w:hAnsiTheme="minorHAnsi"/>
        </w:rPr>
        <w:t>Position of the Academy of Nutrition and Dietetics, Dietitians of Canada, and the American College of Sports Medicine: Nutrition and Athletic Performance</w:t>
      </w:r>
      <w:r>
        <w:rPr>
          <w:rFonts w:asciiTheme="minorHAnsi" w:hAnsiTheme="minorHAnsi"/>
        </w:rPr>
        <w:t>” across multiple chapters</w:t>
      </w:r>
    </w:p>
    <w:p w:rsidR="00D44CE4" w:rsidRPr="00D44CE4" w:rsidRDefault="00D44CE4" w:rsidP="00D44CE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Chapter-specific updates are listed below:</w:t>
      </w:r>
    </w:p>
    <w:p w:rsidR="001B6879" w:rsidRPr="00D44CE4" w:rsidRDefault="001B6879" w:rsidP="00C169F1">
      <w:pPr>
        <w:spacing w:line="20" w:lineRule="atLeast"/>
        <w:rPr>
          <w:rFonts w:asciiTheme="minorHAnsi" w:hAnsiTheme="minorHAnsi" w:cs="Arial"/>
          <w:b/>
        </w:rPr>
      </w:pPr>
      <w:r w:rsidRPr="00D44CE4">
        <w:rPr>
          <w:rFonts w:asciiTheme="minorHAnsi" w:hAnsiTheme="minorHAnsi" w:cs="Arial"/>
          <w:b/>
        </w:rPr>
        <w:t>Chapter 1</w:t>
      </w:r>
      <w:r w:rsidR="00D44CE4">
        <w:rPr>
          <w:rFonts w:asciiTheme="minorHAnsi" w:hAnsiTheme="minorHAnsi" w:cs="Arial"/>
          <w:b/>
        </w:rPr>
        <w:t>: “The Basics of Sports Nutrition”</w:t>
      </w:r>
    </w:p>
    <w:p w:rsidR="00D44CE4" w:rsidRDefault="00D44CE4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Adds a discussion of the new Nutrition Facts label, which was introduced in 2016 and will be required in 2018</w:t>
      </w:r>
    </w:p>
    <w:p w:rsidR="001B6879" w:rsidRPr="001B6879" w:rsidRDefault="001B6879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Incorporates the </w:t>
      </w:r>
      <w:r>
        <w:rPr>
          <w:rFonts w:asciiTheme="minorHAnsi" w:hAnsiTheme="minorHAnsi" w:cs="Arial"/>
          <w:i/>
        </w:rPr>
        <w:t>2015-2020 Dietary Guidelines</w:t>
      </w:r>
    </w:p>
    <w:p w:rsidR="001B6879" w:rsidRDefault="001B6879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 w:rsidRPr="001B6879">
        <w:rPr>
          <w:rFonts w:asciiTheme="minorHAnsi" w:hAnsiTheme="minorHAnsi" w:cs="Arial"/>
        </w:rPr>
        <w:t xml:space="preserve">Reflects updates to </w:t>
      </w:r>
      <w:proofErr w:type="spellStart"/>
      <w:r w:rsidRPr="001B6879">
        <w:rPr>
          <w:rFonts w:asciiTheme="minorHAnsi" w:hAnsiTheme="minorHAnsi" w:cs="Arial"/>
        </w:rPr>
        <w:t>MyPlate</w:t>
      </w:r>
      <w:proofErr w:type="spellEnd"/>
      <w:r w:rsidRPr="001B6879">
        <w:rPr>
          <w:rFonts w:asciiTheme="minorHAnsi" w:hAnsiTheme="minorHAnsi" w:cs="Arial"/>
        </w:rPr>
        <w:t xml:space="preserve"> online messaging</w:t>
      </w:r>
    </w:p>
    <w:p w:rsidR="00D44CE4" w:rsidRDefault="00D44CE4" w:rsidP="001B6879">
      <w:pPr>
        <w:spacing w:line="20" w:lineRule="atLeast"/>
        <w:rPr>
          <w:rFonts w:asciiTheme="minorHAnsi" w:hAnsiTheme="minorHAnsi" w:cs="Arial"/>
          <w:b/>
        </w:rPr>
      </w:pPr>
    </w:p>
    <w:p w:rsidR="001B6879" w:rsidRPr="00D44CE4" w:rsidRDefault="001B6879" w:rsidP="001B6879">
      <w:pPr>
        <w:spacing w:line="20" w:lineRule="atLeast"/>
        <w:rPr>
          <w:rFonts w:asciiTheme="minorHAnsi" w:hAnsiTheme="minorHAnsi" w:cs="Arial"/>
          <w:b/>
        </w:rPr>
      </w:pPr>
      <w:r w:rsidRPr="00D44CE4">
        <w:rPr>
          <w:rFonts w:asciiTheme="minorHAnsi" w:hAnsiTheme="minorHAnsi" w:cs="Arial"/>
          <w:b/>
        </w:rPr>
        <w:t>Chapter 2</w:t>
      </w:r>
      <w:r w:rsidR="00D44CE4">
        <w:rPr>
          <w:rFonts w:asciiTheme="minorHAnsi" w:hAnsiTheme="minorHAnsi" w:cs="Arial"/>
          <w:b/>
        </w:rPr>
        <w:t>: “Nutrients: Ingestion to Energy Metabolism”</w:t>
      </w:r>
    </w:p>
    <w:p w:rsidR="001B6879" w:rsidRPr="00D44CE4" w:rsidRDefault="001B6879" w:rsidP="00D44CE4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Contains streamlined description of glucose in the liver</w:t>
      </w:r>
      <w:r w:rsidR="00D44CE4">
        <w:rPr>
          <w:rFonts w:asciiTheme="minorHAnsi" w:hAnsiTheme="minorHAnsi" w:cs="Arial"/>
        </w:rPr>
        <w:t xml:space="preserve"> and </w:t>
      </w:r>
      <w:r w:rsidRPr="00D44CE4">
        <w:rPr>
          <w:rFonts w:asciiTheme="minorHAnsi" w:hAnsiTheme="minorHAnsi" w:cs="Arial"/>
        </w:rPr>
        <w:t>cholecystokinin’s role in digestion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1B6879" w:rsidRPr="00D44CE4" w:rsidRDefault="001B6879" w:rsidP="001B6879">
      <w:pPr>
        <w:spacing w:line="20" w:lineRule="atLeast"/>
        <w:rPr>
          <w:rFonts w:asciiTheme="minorHAnsi" w:hAnsiTheme="minorHAnsi" w:cs="Arial"/>
          <w:b/>
        </w:rPr>
      </w:pPr>
      <w:r w:rsidRPr="00D44CE4">
        <w:rPr>
          <w:rFonts w:asciiTheme="minorHAnsi" w:hAnsiTheme="minorHAnsi" w:cs="Arial"/>
          <w:b/>
        </w:rPr>
        <w:t>Chapter 3</w:t>
      </w:r>
      <w:r w:rsidR="00D44CE4">
        <w:rPr>
          <w:rFonts w:asciiTheme="minorHAnsi" w:hAnsiTheme="minorHAnsi" w:cs="Arial"/>
          <w:b/>
        </w:rPr>
        <w:t>: “Carbohydrates”</w:t>
      </w:r>
    </w:p>
    <w:p w:rsidR="00D44CE4" w:rsidRDefault="00D44CE4" w:rsidP="00D44CE4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Clarifies reason for body’s shift to carbohydrates as major source of energy during intense aerobic activity</w:t>
      </w:r>
    </w:p>
    <w:p w:rsidR="001B6879" w:rsidRDefault="001B6879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Adds </w:t>
      </w:r>
      <w:proofErr w:type="spellStart"/>
      <w:r>
        <w:rPr>
          <w:rFonts w:asciiTheme="minorHAnsi" w:hAnsiTheme="minorHAnsi" w:cs="Arial"/>
        </w:rPr>
        <w:t>erythritol</w:t>
      </w:r>
      <w:proofErr w:type="spellEnd"/>
      <w:r>
        <w:rPr>
          <w:rFonts w:asciiTheme="minorHAnsi" w:hAnsiTheme="minorHAnsi" w:cs="Arial"/>
        </w:rPr>
        <w:t xml:space="preserve"> to Table 3.5 “Sugars and Artificial </w:t>
      </w:r>
      <w:proofErr w:type="spellStart"/>
      <w:r>
        <w:rPr>
          <w:rFonts w:asciiTheme="minorHAnsi" w:hAnsiTheme="minorHAnsi" w:cs="Arial"/>
        </w:rPr>
        <w:t>Sweetners</w:t>
      </w:r>
      <w:proofErr w:type="spellEnd"/>
      <w:r>
        <w:rPr>
          <w:rFonts w:asciiTheme="minorHAnsi" w:hAnsiTheme="minorHAnsi" w:cs="Arial"/>
        </w:rPr>
        <w:t>”</w:t>
      </w:r>
    </w:p>
    <w:p w:rsidR="001B6879" w:rsidRDefault="001B6879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Adds several sports drinks, carbohydrate gels, and energy bars to Table 3.12 “Carbohydrate Content of Commonly Used Sports Drinks, Gels, and Bars”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1B6879" w:rsidRPr="00D44CE4" w:rsidRDefault="001B6879" w:rsidP="001B6879">
      <w:pPr>
        <w:spacing w:line="20" w:lineRule="atLeast"/>
        <w:rPr>
          <w:rFonts w:asciiTheme="minorHAnsi" w:hAnsiTheme="minorHAnsi" w:cs="Arial"/>
          <w:b/>
        </w:rPr>
      </w:pPr>
      <w:r w:rsidRPr="00D44CE4">
        <w:rPr>
          <w:rFonts w:asciiTheme="minorHAnsi" w:hAnsiTheme="minorHAnsi" w:cs="Arial"/>
          <w:b/>
        </w:rPr>
        <w:t>Chapter 4</w:t>
      </w:r>
      <w:r w:rsidR="00D44CE4">
        <w:rPr>
          <w:rFonts w:asciiTheme="minorHAnsi" w:hAnsiTheme="minorHAnsi" w:cs="Arial"/>
          <w:b/>
        </w:rPr>
        <w:t>: “Fats”</w:t>
      </w:r>
    </w:p>
    <w:p w:rsidR="00D44CE4" w:rsidRDefault="00D44CE4" w:rsidP="00D44CE4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 the new Academy of Nutrition and Dietetics (AND) position statement on dietary fatty acids</w:t>
      </w:r>
    </w:p>
    <w:p w:rsidR="00D44CE4" w:rsidRDefault="00D44CE4" w:rsidP="00D44CE4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Contains a new </w:t>
      </w:r>
      <w:r>
        <w:rPr>
          <w:rFonts w:asciiTheme="minorHAnsi" w:hAnsiTheme="minorHAnsi" w:cs="Arial"/>
          <w:i/>
        </w:rPr>
        <w:t xml:space="preserve">Fortifying Your Nutrition Knowledge </w:t>
      </w:r>
      <w:r>
        <w:rPr>
          <w:rFonts w:asciiTheme="minorHAnsi" w:hAnsiTheme="minorHAnsi" w:cs="Arial"/>
        </w:rPr>
        <w:t>feature: “AHA/ACC 2013 Report on Lifestyle Management to Reduce Cardiovascular Disease Risk”</w:t>
      </w:r>
    </w:p>
    <w:p w:rsidR="001B6879" w:rsidRDefault="0085172E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Features</w:t>
      </w:r>
      <w:r w:rsidR="00D14072">
        <w:rPr>
          <w:rFonts w:asciiTheme="minorHAnsi" w:hAnsiTheme="minorHAnsi" w:cs="Arial"/>
        </w:rPr>
        <w:t xml:space="preserve"> updated recommendations in Table 4.4 “Daily Fat Intake Recommendations”</w:t>
      </w:r>
    </w:p>
    <w:p w:rsidR="00D14072" w:rsidRDefault="00D14072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updated omega-3 fatty acid quantities in Table 4.5 “Omega-3 Fatty Acids in Selected Foods,” based on Release 27 of the USDA Nutrient Database for Standard Reference</w:t>
      </w:r>
    </w:p>
    <w:p w:rsidR="00D14072" w:rsidRDefault="0085172E" w:rsidP="001B6879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</w:t>
      </w:r>
      <w:r w:rsidR="00D14072">
        <w:rPr>
          <w:rFonts w:asciiTheme="minorHAnsi" w:hAnsiTheme="minorHAnsi" w:cs="Arial"/>
        </w:rPr>
        <w:t xml:space="preserve"> updates to Training Table 4.7 “Examples of </w:t>
      </w:r>
      <w:proofErr w:type="spellStart"/>
      <w:r w:rsidR="00D14072">
        <w:rPr>
          <w:rFonts w:asciiTheme="minorHAnsi" w:hAnsiTheme="minorHAnsi" w:cs="Arial"/>
        </w:rPr>
        <w:t>Preexercise</w:t>
      </w:r>
      <w:proofErr w:type="spellEnd"/>
      <w:r w:rsidR="00D14072">
        <w:rPr>
          <w:rFonts w:asciiTheme="minorHAnsi" w:hAnsiTheme="minorHAnsi" w:cs="Arial"/>
        </w:rPr>
        <w:t xml:space="preserve">, Well-Balanced Meals Containing Small Amounts of Fat” and 4.8 “Examples of </w:t>
      </w:r>
      <w:proofErr w:type="spellStart"/>
      <w:r w:rsidR="00D14072">
        <w:rPr>
          <w:rFonts w:asciiTheme="minorHAnsi" w:hAnsiTheme="minorHAnsi" w:cs="Arial"/>
        </w:rPr>
        <w:t>Postexercise</w:t>
      </w:r>
      <w:proofErr w:type="spellEnd"/>
      <w:r w:rsidR="00D14072">
        <w:rPr>
          <w:rFonts w:asciiTheme="minorHAnsi" w:hAnsiTheme="minorHAnsi" w:cs="Arial"/>
        </w:rPr>
        <w:t xml:space="preserve"> Meals Containing Small to Moderate Amounts of Fat”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D14072" w:rsidRPr="0085172E" w:rsidRDefault="00D14072" w:rsidP="00D14072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5</w:t>
      </w:r>
      <w:r w:rsidR="0085172E">
        <w:rPr>
          <w:rFonts w:asciiTheme="minorHAnsi" w:hAnsiTheme="minorHAnsi" w:cs="Arial"/>
          <w:b/>
        </w:rPr>
        <w:t>: “Proteins”</w:t>
      </w:r>
    </w:p>
    <w:p w:rsidR="0085172E" w:rsidRDefault="0085172E" w:rsidP="0085172E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Features a new section on increased protein needs for athletes recovering from an injury</w:t>
      </w:r>
    </w:p>
    <w:p w:rsidR="00D14072" w:rsidRDefault="00D14072" w:rsidP="00D14072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 material on the role of proteins in cellular signaling</w:t>
      </w:r>
    </w:p>
    <w:p w:rsidR="0085172E" w:rsidRDefault="0085172E" w:rsidP="0085172E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a streamlined description of the glucose-alanine cycle</w:t>
      </w:r>
    </w:p>
    <w:p w:rsidR="00D14072" w:rsidRDefault="00D14072" w:rsidP="00D14072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updates to percentages in Table 5.3 “Daily Protein Recommendations for Athletes”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D14072" w:rsidRPr="0085172E" w:rsidRDefault="00D14072" w:rsidP="00D14072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6</w:t>
      </w:r>
      <w:r w:rsidR="0085172E">
        <w:rPr>
          <w:rFonts w:asciiTheme="minorHAnsi" w:hAnsiTheme="minorHAnsi" w:cs="Arial"/>
          <w:b/>
        </w:rPr>
        <w:t>: “Vitamins”</w:t>
      </w:r>
    </w:p>
    <w:p w:rsidR="0085172E" w:rsidRDefault="0085172E" w:rsidP="0085172E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Discusses controversy surrounding the RDA for vitamin D</w:t>
      </w:r>
    </w:p>
    <w:p w:rsidR="00D14072" w:rsidRDefault="00D14072" w:rsidP="00D14072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added material about rebound scurvy</w:t>
      </w:r>
    </w:p>
    <w:p w:rsidR="00C7778C" w:rsidRDefault="00C7778C" w:rsidP="00D14072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 updated numbers in Table 6.2 “Serum Vitamin D [25(OH)D] Concentration and Status”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C7778C" w:rsidRPr="0085172E" w:rsidRDefault="00C7778C" w:rsidP="00C7778C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7</w:t>
      </w:r>
      <w:r w:rsidR="0085172E">
        <w:rPr>
          <w:rFonts w:asciiTheme="minorHAnsi" w:hAnsiTheme="minorHAnsi" w:cs="Arial"/>
          <w:b/>
        </w:rPr>
        <w:t>: “Minerals”</w:t>
      </w:r>
    </w:p>
    <w:p w:rsidR="00C7778C" w:rsidRDefault="00C7778C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 updates about studies purporting to show magnesium prevents muscle cramps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C7778C" w:rsidRPr="0085172E" w:rsidRDefault="00C7778C" w:rsidP="00C7778C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8</w:t>
      </w:r>
      <w:r w:rsidR="0085172E">
        <w:rPr>
          <w:rFonts w:asciiTheme="minorHAnsi" w:hAnsiTheme="minorHAnsi" w:cs="Arial"/>
          <w:b/>
        </w:rPr>
        <w:t>: “Water”</w:t>
      </w:r>
    </w:p>
    <w:p w:rsidR="0085172E" w:rsidRPr="0085172E" w:rsidRDefault="0085172E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 w:rsidRPr="0085172E">
        <w:rPr>
          <w:rFonts w:asciiTheme="minorHAnsi" w:hAnsiTheme="minorHAnsi"/>
        </w:rPr>
        <w:t xml:space="preserve">Includes update on studies exploring the efficacy of </w:t>
      </w:r>
      <w:proofErr w:type="spellStart"/>
      <w:r w:rsidRPr="0085172E">
        <w:rPr>
          <w:rFonts w:asciiTheme="minorHAnsi" w:hAnsiTheme="minorHAnsi"/>
        </w:rPr>
        <w:t>hyperhydration</w:t>
      </w:r>
      <w:proofErr w:type="spellEnd"/>
      <w:r w:rsidRPr="0085172E">
        <w:rPr>
          <w:rFonts w:asciiTheme="minorHAnsi" w:hAnsiTheme="minorHAnsi"/>
        </w:rPr>
        <w:t xml:space="preserve"> using glycerol</w:t>
      </w:r>
    </w:p>
    <w:p w:rsidR="00C7778C" w:rsidRPr="0085172E" w:rsidRDefault="00C7778C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 w:rsidRPr="0085172E">
        <w:rPr>
          <w:rFonts w:asciiTheme="minorHAnsi" w:hAnsiTheme="minorHAnsi"/>
        </w:rPr>
        <w:t>Incorporates updates to Table 8.4 “Factors Affecting Fluid Consumption and Absorption During Exercise”</w:t>
      </w:r>
    </w:p>
    <w:p w:rsidR="00C7778C" w:rsidRPr="0085172E" w:rsidRDefault="00C7778C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 w:rsidRPr="0085172E">
        <w:rPr>
          <w:rFonts w:asciiTheme="minorHAnsi" w:hAnsiTheme="minorHAnsi"/>
        </w:rPr>
        <w:t xml:space="preserve">Adds </w:t>
      </w:r>
      <w:proofErr w:type="spellStart"/>
      <w:r w:rsidRPr="0085172E">
        <w:rPr>
          <w:rFonts w:asciiTheme="minorHAnsi" w:hAnsiTheme="minorHAnsi"/>
        </w:rPr>
        <w:t>Skratch</w:t>
      </w:r>
      <w:proofErr w:type="spellEnd"/>
      <w:r w:rsidRPr="0085172E">
        <w:rPr>
          <w:rFonts w:asciiTheme="minorHAnsi" w:hAnsiTheme="minorHAnsi"/>
        </w:rPr>
        <w:t xml:space="preserve"> to Table 8.5 “Sports Beverage Comparison”</w:t>
      </w:r>
    </w:p>
    <w:p w:rsidR="00D44CE4" w:rsidRPr="00C7778C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C7778C" w:rsidRPr="0085172E" w:rsidRDefault="00C7778C" w:rsidP="00C7778C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9</w:t>
      </w:r>
      <w:r w:rsidR="0085172E">
        <w:rPr>
          <w:rFonts w:asciiTheme="minorHAnsi" w:hAnsiTheme="minorHAnsi" w:cs="Arial"/>
          <w:b/>
        </w:rPr>
        <w:t xml:space="preserve">: “Nutritional </w:t>
      </w:r>
      <w:proofErr w:type="spellStart"/>
      <w:r w:rsidR="0085172E">
        <w:rPr>
          <w:rFonts w:asciiTheme="minorHAnsi" w:hAnsiTheme="minorHAnsi" w:cs="Arial"/>
          <w:b/>
        </w:rPr>
        <w:t>Ergogenics</w:t>
      </w:r>
      <w:proofErr w:type="spellEnd"/>
      <w:r w:rsidR="0085172E">
        <w:rPr>
          <w:rFonts w:asciiTheme="minorHAnsi" w:hAnsiTheme="minorHAnsi" w:cs="Arial"/>
          <w:b/>
        </w:rPr>
        <w:t>”</w:t>
      </w:r>
    </w:p>
    <w:p w:rsidR="0085172E" w:rsidRDefault="0085172E" w:rsidP="0085172E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Features new Table 9.3 “World Anti-Doping Code: 2016 Prohibited Substances List”</w:t>
      </w:r>
    </w:p>
    <w:p w:rsidR="00C7778C" w:rsidRDefault="00C7778C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Presents updated statistics about use of dietary supplements among the U.S. population generally and athletes specifically</w:t>
      </w:r>
    </w:p>
    <w:p w:rsidR="00C7778C" w:rsidRDefault="00C7778C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 updated information about the United States Pharmacopeia (USP) verification process</w:t>
      </w:r>
    </w:p>
    <w:p w:rsidR="00C7778C" w:rsidRDefault="00C7778C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Features additions and updates to Table 9.2 “Dietary Supplements Resources”</w:t>
      </w:r>
    </w:p>
    <w:p w:rsidR="00C7778C" w:rsidRDefault="00C7778C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Adds beta-alanine to Table 9.9 “Common Nutritional </w:t>
      </w:r>
      <w:proofErr w:type="spellStart"/>
      <w:r>
        <w:rPr>
          <w:rFonts w:asciiTheme="minorHAnsi" w:hAnsiTheme="minorHAnsi" w:cs="Arial"/>
        </w:rPr>
        <w:t>Ergogenics</w:t>
      </w:r>
      <w:proofErr w:type="spellEnd"/>
      <w:r>
        <w:rPr>
          <w:rFonts w:asciiTheme="minorHAnsi" w:hAnsiTheme="minorHAnsi" w:cs="Arial"/>
        </w:rPr>
        <w:t xml:space="preserve"> Used by Strength/Power Athletes”</w:t>
      </w:r>
    </w:p>
    <w:p w:rsidR="00820375" w:rsidRDefault="00820375" w:rsidP="00C7778C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Updates ingredients listed in Table 9.11 “Common Energy Drinks”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820375" w:rsidRPr="0085172E" w:rsidRDefault="00820375" w:rsidP="00820375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10</w:t>
      </w:r>
      <w:r w:rsidR="0085172E">
        <w:rPr>
          <w:rFonts w:asciiTheme="minorHAnsi" w:hAnsiTheme="minorHAnsi" w:cs="Arial"/>
          <w:b/>
        </w:rPr>
        <w:t>: “Nutrition Consultation with Athletes”</w:t>
      </w:r>
    </w:p>
    <w:p w:rsidR="00820375" w:rsidRDefault="00820375" w:rsidP="00820375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Contains a new </w:t>
      </w:r>
      <w:r>
        <w:rPr>
          <w:rFonts w:asciiTheme="minorHAnsi" w:hAnsiTheme="minorHAnsi" w:cs="Arial"/>
          <w:i/>
        </w:rPr>
        <w:t xml:space="preserve">Fortifying Your Nutrition Knowledge </w:t>
      </w:r>
      <w:r>
        <w:rPr>
          <w:rFonts w:asciiTheme="minorHAnsi" w:hAnsiTheme="minorHAnsi" w:cs="Arial"/>
        </w:rPr>
        <w:t>feature: “Motivational Interviewing: A tool for helping to change behavior”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820375" w:rsidRPr="0085172E" w:rsidRDefault="00820375" w:rsidP="00820375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11</w:t>
      </w:r>
      <w:r w:rsidR="0085172E">
        <w:rPr>
          <w:rFonts w:asciiTheme="minorHAnsi" w:hAnsiTheme="minorHAnsi" w:cs="Arial"/>
          <w:b/>
        </w:rPr>
        <w:t>: “Weight Management”</w:t>
      </w:r>
    </w:p>
    <w:p w:rsidR="0085172E" w:rsidRDefault="0085172E" w:rsidP="0085172E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Contains two</w:t>
      </w:r>
      <w:r w:rsidRPr="00D957A7">
        <w:rPr>
          <w:rFonts w:asciiTheme="minorHAnsi" w:hAnsiTheme="minorHAnsi" w:cs="Arial"/>
        </w:rPr>
        <w:t xml:space="preserve"> new </w:t>
      </w:r>
      <w:r w:rsidRPr="00D957A7">
        <w:rPr>
          <w:rFonts w:asciiTheme="minorHAnsi" w:hAnsiTheme="minorHAnsi" w:cs="Arial"/>
          <w:i/>
        </w:rPr>
        <w:t xml:space="preserve">Fortifying Your Nutrition Knowledge </w:t>
      </w:r>
      <w:r w:rsidRPr="00D957A7">
        <w:rPr>
          <w:rFonts w:asciiTheme="minorHAnsi" w:hAnsiTheme="minorHAnsi" w:cs="Arial"/>
        </w:rPr>
        <w:t>feature</w:t>
      </w:r>
      <w:r>
        <w:rPr>
          <w:rFonts w:asciiTheme="minorHAnsi" w:hAnsiTheme="minorHAnsi" w:cs="Arial"/>
        </w:rPr>
        <w:t>s</w:t>
      </w:r>
      <w:r w:rsidRPr="00D957A7">
        <w:rPr>
          <w:rFonts w:asciiTheme="minorHAnsi" w:hAnsiTheme="minorHAnsi" w:cs="Arial"/>
        </w:rPr>
        <w:t>: “Mobile Apps: Technology in Weight Management”</w:t>
      </w:r>
      <w:r>
        <w:rPr>
          <w:rFonts w:asciiTheme="minorHAnsi" w:hAnsiTheme="minorHAnsi" w:cs="Arial"/>
        </w:rPr>
        <w:t xml:space="preserve"> and “Relative Energy Deficiency in Sport (RED-S): The female triad and more”</w:t>
      </w:r>
    </w:p>
    <w:p w:rsidR="00820375" w:rsidRDefault="00820375" w:rsidP="00820375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updated statistics about obesity in the United States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D957A7" w:rsidRPr="0085172E" w:rsidRDefault="00D957A7" w:rsidP="00D957A7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12</w:t>
      </w:r>
      <w:r w:rsidR="0085172E">
        <w:rPr>
          <w:rFonts w:asciiTheme="minorHAnsi" w:hAnsiTheme="minorHAnsi" w:cs="Arial"/>
          <w:b/>
        </w:rPr>
        <w:t>: “Endurance and Ultra-Endurance Athletes”</w:t>
      </w:r>
    </w:p>
    <w:p w:rsidR="0085172E" w:rsidRDefault="0085172E" w:rsidP="0085172E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Contains a new </w:t>
      </w:r>
      <w:r>
        <w:rPr>
          <w:rFonts w:asciiTheme="minorHAnsi" w:hAnsiTheme="minorHAnsi" w:cs="Arial"/>
          <w:i/>
        </w:rPr>
        <w:t xml:space="preserve">Fortifying Your Nutrition Knowledge </w:t>
      </w:r>
      <w:r>
        <w:rPr>
          <w:rFonts w:asciiTheme="minorHAnsi" w:hAnsiTheme="minorHAnsi" w:cs="Arial"/>
        </w:rPr>
        <w:t>feature: “High Fat, Ketogenic Diets: Is there potential for enhanced performance in endurance sports?”</w:t>
      </w:r>
    </w:p>
    <w:p w:rsidR="00D957A7" w:rsidRDefault="00D957A7" w:rsidP="00D957A7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information from recent studies about the role of protein in recovery from endurance exercise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D957A7" w:rsidRPr="0085172E" w:rsidRDefault="00D957A7" w:rsidP="00D957A7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14</w:t>
      </w:r>
      <w:r w:rsidR="0085172E">
        <w:rPr>
          <w:rFonts w:asciiTheme="minorHAnsi" w:hAnsiTheme="minorHAnsi" w:cs="Arial"/>
          <w:b/>
        </w:rPr>
        <w:t>: “Team Sport Athletes”</w:t>
      </w:r>
    </w:p>
    <w:p w:rsidR="00D957A7" w:rsidRDefault="0085172E" w:rsidP="00D957A7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Provides</w:t>
      </w:r>
      <w:r w:rsidR="00D957A7">
        <w:rPr>
          <w:rFonts w:asciiTheme="minorHAnsi" w:hAnsiTheme="minorHAnsi" w:cs="Arial"/>
        </w:rPr>
        <w:t xml:space="preserve"> updated daily carbohydrate recommendations for team sport athletes</w:t>
      </w:r>
    </w:p>
    <w:p w:rsidR="00D957A7" w:rsidRDefault="00D957A7" w:rsidP="00D957A7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update protein recommendations for post-exercise recovery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D957A7" w:rsidRPr="0085172E" w:rsidRDefault="00D957A7" w:rsidP="00D957A7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15</w:t>
      </w:r>
      <w:r w:rsidR="0085172E">
        <w:rPr>
          <w:rFonts w:asciiTheme="minorHAnsi" w:hAnsiTheme="minorHAnsi" w:cs="Arial"/>
          <w:b/>
        </w:rPr>
        <w:t>: “Special Populations”</w:t>
      </w:r>
    </w:p>
    <w:p w:rsidR="0085172E" w:rsidRDefault="0085172E" w:rsidP="0085172E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updated nutrition recommendations for athletes with diabetes</w:t>
      </w:r>
    </w:p>
    <w:p w:rsidR="00D957A7" w:rsidRDefault="00D957A7" w:rsidP="00D957A7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updated statistics about diabetes in the United States</w:t>
      </w:r>
    </w:p>
    <w:p w:rsidR="00F21BA4" w:rsidRDefault="00F21BA4" w:rsidP="00D957A7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 recommendation updates to Table 15.2 “</w:t>
      </w:r>
      <w:proofErr w:type="spellStart"/>
      <w:r>
        <w:rPr>
          <w:rFonts w:asciiTheme="minorHAnsi" w:hAnsiTheme="minorHAnsi" w:cs="Arial"/>
        </w:rPr>
        <w:t>Preexercise</w:t>
      </w:r>
      <w:proofErr w:type="spellEnd"/>
      <w:r>
        <w:rPr>
          <w:rFonts w:asciiTheme="minorHAnsi" w:hAnsiTheme="minorHAnsi" w:cs="Arial"/>
        </w:rPr>
        <w:t xml:space="preserve"> Glucose Guidelines”</w:t>
      </w:r>
    </w:p>
    <w:p w:rsidR="00F21BA4" w:rsidRDefault="00F21BA4" w:rsidP="00D957A7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Adds items to Table 15.5 “Healthy Snack Options for Young Athletes”</w:t>
      </w:r>
    </w:p>
    <w:p w:rsidR="00D44CE4" w:rsidRDefault="00D44CE4" w:rsidP="00D44CE4">
      <w:pPr>
        <w:pStyle w:val="ListParagraph"/>
        <w:spacing w:line="20" w:lineRule="atLeast"/>
        <w:rPr>
          <w:rFonts w:asciiTheme="minorHAnsi" w:hAnsiTheme="minorHAnsi" w:cs="Arial"/>
        </w:rPr>
      </w:pPr>
    </w:p>
    <w:p w:rsidR="00F21BA4" w:rsidRPr="0085172E" w:rsidRDefault="00F21BA4" w:rsidP="00F21BA4">
      <w:pPr>
        <w:spacing w:line="20" w:lineRule="atLeast"/>
        <w:rPr>
          <w:rFonts w:asciiTheme="minorHAnsi" w:hAnsiTheme="minorHAnsi" w:cs="Arial"/>
          <w:b/>
        </w:rPr>
      </w:pPr>
      <w:r w:rsidRPr="0085172E">
        <w:rPr>
          <w:rFonts w:asciiTheme="minorHAnsi" w:hAnsiTheme="minorHAnsi" w:cs="Arial"/>
          <w:b/>
        </w:rPr>
        <w:t>Chapter 16</w:t>
      </w:r>
      <w:r w:rsidR="0085172E">
        <w:rPr>
          <w:rFonts w:asciiTheme="minorHAnsi" w:hAnsiTheme="minorHAnsi" w:cs="Arial"/>
          <w:b/>
        </w:rPr>
        <w:t>: “Jobs in Sports Nutrition”</w:t>
      </w:r>
    </w:p>
    <w:p w:rsidR="00F21BA4" w:rsidRDefault="00F21BA4" w:rsidP="00F21BA4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Incorporates updates to ACEND’s five categories of knowledge requirements</w:t>
      </w:r>
    </w:p>
    <w:p w:rsidR="00F21BA4" w:rsidRPr="00F21BA4" w:rsidRDefault="00F21BA4" w:rsidP="00F21BA4">
      <w:pPr>
        <w:pStyle w:val="ListParagraph"/>
        <w:numPr>
          <w:ilvl w:val="0"/>
          <w:numId w:val="24"/>
        </w:numPr>
        <w:spacing w:line="20" w:lineRule="atLeas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Includes updated statistics about registered diet</w:t>
      </w:r>
      <w:r w:rsidR="0085172E">
        <w:rPr>
          <w:rFonts w:asciiTheme="minorHAnsi" w:hAnsiTheme="minorHAnsi" w:cs="Arial"/>
        </w:rPr>
        <w:t>it</w:t>
      </w:r>
      <w:r>
        <w:rPr>
          <w:rFonts w:asciiTheme="minorHAnsi" w:hAnsiTheme="minorHAnsi" w:cs="Arial"/>
        </w:rPr>
        <w:t>ian nutritionists in the United States</w:t>
      </w:r>
    </w:p>
    <w:sectPr w:rsidR="00F21BA4" w:rsidRPr="00F21BA4" w:rsidSect="005E1F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29B"/>
    <w:multiLevelType w:val="hybridMultilevel"/>
    <w:tmpl w:val="AC28F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55FB1"/>
    <w:multiLevelType w:val="hybridMultilevel"/>
    <w:tmpl w:val="0444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D7B44"/>
    <w:multiLevelType w:val="hybridMultilevel"/>
    <w:tmpl w:val="5D9EE8C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E4564"/>
    <w:multiLevelType w:val="hybridMultilevel"/>
    <w:tmpl w:val="6F9C14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EB2B40"/>
    <w:multiLevelType w:val="hybridMultilevel"/>
    <w:tmpl w:val="EBAA9A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E6F59"/>
    <w:multiLevelType w:val="hybridMultilevel"/>
    <w:tmpl w:val="FABA6E3C"/>
    <w:lvl w:ilvl="0" w:tplc="BA389AB8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5C1B21"/>
    <w:multiLevelType w:val="hybridMultilevel"/>
    <w:tmpl w:val="FE48BA26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F1B22"/>
    <w:multiLevelType w:val="hybridMultilevel"/>
    <w:tmpl w:val="45461D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749C1"/>
    <w:multiLevelType w:val="hybridMultilevel"/>
    <w:tmpl w:val="7DDCDA2C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33079"/>
    <w:multiLevelType w:val="hybridMultilevel"/>
    <w:tmpl w:val="98322D8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70A11"/>
    <w:multiLevelType w:val="hybridMultilevel"/>
    <w:tmpl w:val="538A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47D49"/>
    <w:multiLevelType w:val="hybridMultilevel"/>
    <w:tmpl w:val="584CBA3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44561"/>
    <w:multiLevelType w:val="hybridMultilevel"/>
    <w:tmpl w:val="BCAA4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537189"/>
    <w:multiLevelType w:val="hybridMultilevel"/>
    <w:tmpl w:val="A9DE31A0"/>
    <w:lvl w:ilvl="0" w:tplc="089A793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F531E"/>
    <w:multiLevelType w:val="hybridMultilevel"/>
    <w:tmpl w:val="D13EEE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8934B5"/>
    <w:multiLevelType w:val="hybridMultilevel"/>
    <w:tmpl w:val="C8D2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05E50"/>
    <w:multiLevelType w:val="hybridMultilevel"/>
    <w:tmpl w:val="D2D868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7D6761"/>
    <w:multiLevelType w:val="hybridMultilevel"/>
    <w:tmpl w:val="913AFEC0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54A4D"/>
    <w:multiLevelType w:val="hybridMultilevel"/>
    <w:tmpl w:val="D1206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D401A"/>
    <w:multiLevelType w:val="hybridMultilevel"/>
    <w:tmpl w:val="ED2EA26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20842"/>
    <w:multiLevelType w:val="hybridMultilevel"/>
    <w:tmpl w:val="B28A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C5861"/>
    <w:multiLevelType w:val="hybridMultilevel"/>
    <w:tmpl w:val="7CF0A972"/>
    <w:lvl w:ilvl="0" w:tplc="6D6679F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B27359"/>
    <w:multiLevelType w:val="hybridMultilevel"/>
    <w:tmpl w:val="FFDC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94F33"/>
    <w:multiLevelType w:val="hybridMultilevel"/>
    <w:tmpl w:val="33BE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65CE8"/>
    <w:multiLevelType w:val="hybridMultilevel"/>
    <w:tmpl w:val="6C0C7C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9"/>
  </w:num>
  <w:num w:numId="5">
    <w:abstractNumId w:val="8"/>
  </w:num>
  <w:num w:numId="6">
    <w:abstractNumId w:val="21"/>
  </w:num>
  <w:num w:numId="7">
    <w:abstractNumId w:val="19"/>
  </w:num>
  <w:num w:numId="8">
    <w:abstractNumId w:val="6"/>
  </w:num>
  <w:num w:numId="9">
    <w:abstractNumId w:val="2"/>
  </w:num>
  <w:num w:numId="10">
    <w:abstractNumId w:val="11"/>
  </w:num>
  <w:num w:numId="11">
    <w:abstractNumId w:val="17"/>
  </w:num>
  <w:num w:numId="12">
    <w:abstractNumId w:val="5"/>
  </w:num>
  <w:num w:numId="13">
    <w:abstractNumId w:val="3"/>
  </w:num>
  <w:num w:numId="14">
    <w:abstractNumId w:val="4"/>
  </w:num>
  <w:num w:numId="15">
    <w:abstractNumId w:val="20"/>
  </w:num>
  <w:num w:numId="16">
    <w:abstractNumId w:val="7"/>
  </w:num>
  <w:num w:numId="17">
    <w:abstractNumId w:val="0"/>
  </w:num>
  <w:num w:numId="18">
    <w:abstractNumId w:val="24"/>
  </w:num>
  <w:num w:numId="19">
    <w:abstractNumId w:val="15"/>
  </w:num>
  <w:num w:numId="20">
    <w:abstractNumId w:val="16"/>
  </w:num>
  <w:num w:numId="21">
    <w:abstractNumId w:val="23"/>
  </w:num>
  <w:num w:numId="22">
    <w:abstractNumId w:val="18"/>
  </w:num>
  <w:num w:numId="23">
    <w:abstractNumId w:val="10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19"/>
    <w:rsid w:val="00072C4A"/>
    <w:rsid w:val="0008412A"/>
    <w:rsid w:val="000B0289"/>
    <w:rsid w:val="000C6909"/>
    <w:rsid w:val="000D010A"/>
    <w:rsid w:val="000E2146"/>
    <w:rsid w:val="00127554"/>
    <w:rsid w:val="00190858"/>
    <w:rsid w:val="001B6879"/>
    <w:rsid w:val="001C014C"/>
    <w:rsid w:val="001D6243"/>
    <w:rsid w:val="00224D98"/>
    <w:rsid w:val="00236506"/>
    <w:rsid w:val="002625FF"/>
    <w:rsid w:val="002B7AC5"/>
    <w:rsid w:val="00332C4D"/>
    <w:rsid w:val="00334DF6"/>
    <w:rsid w:val="00386908"/>
    <w:rsid w:val="00395E85"/>
    <w:rsid w:val="003C1E42"/>
    <w:rsid w:val="0044629E"/>
    <w:rsid w:val="00451635"/>
    <w:rsid w:val="00527DDC"/>
    <w:rsid w:val="00541CAB"/>
    <w:rsid w:val="00583C0A"/>
    <w:rsid w:val="005C24B1"/>
    <w:rsid w:val="005C7B42"/>
    <w:rsid w:val="005E1F39"/>
    <w:rsid w:val="005F718A"/>
    <w:rsid w:val="00651CAE"/>
    <w:rsid w:val="006C122B"/>
    <w:rsid w:val="006F12F3"/>
    <w:rsid w:val="00707B0D"/>
    <w:rsid w:val="0074692E"/>
    <w:rsid w:val="00767D6E"/>
    <w:rsid w:val="0077684B"/>
    <w:rsid w:val="00820375"/>
    <w:rsid w:val="00846226"/>
    <w:rsid w:val="0085172E"/>
    <w:rsid w:val="00876B59"/>
    <w:rsid w:val="008A4A1D"/>
    <w:rsid w:val="00991570"/>
    <w:rsid w:val="0099630A"/>
    <w:rsid w:val="009A3A23"/>
    <w:rsid w:val="009F4BE9"/>
    <w:rsid w:val="00A23837"/>
    <w:rsid w:val="00A4102B"/>
    <w:rsid w:val="00A57701"/>
    <w:rsid w:val="00A628D2"/>
    <w:rsid w:val="00BC3D19"/>
    <w:rsid w:val="00BF0CDC"/>
    <w:rsid w:val="00C169F1"/>
    <w:rsid w:val="00C7778C"/>
    <w:rsid w:val="00D14072"/>
    <w:rsid w:val="00D44CE4"/>
    <w:rsid w:val="00D57BFB"/>
    <w:rsid w:val="00D957A7"/>
    <w:rsid w:val="00E360BC"/>
    <w:rsid w:val="00EB2707"/>
    <w:rsid w:val="00F21BA4"/>
    <w:rsid w:val="00F40955"/>
    <w:rsid w:val="00F54698"/>
    <w:rsid w:val="00FD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2EB1D1-3C0A-4CD9-845B-6F50CF72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9157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BC3D19"/>
    <w:rPr>
      <w:i/>
      <w:iCs/>
    </w:rPr>
  </w:style>
  <w:style w:type="table" w:styleId="TableGrid">
    <w:name w:val="Table Grid"/>
    <w:basedOn w:val="TableNormal"/>
    <w:rsid w:val="00BC3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1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3D19"/>
    <w:pPr>
      <w:ind w:left="720"/>
      <w:contextualSpacing/>
    </w:pPr>
  </w:style>
  <w:style w:type="character" w:customStyle="1" w:styleId="FT">
    <w:name w:val="FT"/>
    <w:uiPriority w:val="99"/>
    <w:rsid w:val="00BC3D19"/>
    <w:rPr>
      <w:b/>
    </w:rPr>
  </w:style>
  <w:style w:type="character" w:customStyle="1" w:styleId="apple-converted-space">
    <w:name w:val="apple-converted-space"/>
    <w:basedOn w:val="DefaultParagraphFont"/>
    <w:rsid w:val="00991570"/>
  </w:style>
  <w:style w:type="character" w:customStyle="1" w:styleId="Heading1Char">
    <w:name w:val="Heading 1 Char"/>
    <w:basedOn w:val="DefaultParagraphFont"/>
    <w:link w:val="Heading1"/>
    <w:uiPriority w:val="9"/>
    <w:rsid w:val="0099157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625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7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BD37B-F492-42EE-B60C-5DA22326C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847</Words>
  <Characters>4830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Palmer</dc:creator>
  <cp:lastModifiedBy>Sean Fabery</cp:lastModifiedBy>
  <cp:revision>2</cp:revision>
  <dcterms:created xsi:type="dcterms:W3CDTF">2017-05-05T21:18:00Z</dcterms:created>
  <dcterms:modified xsi:type="dcterms:W3CDTF">2017-05-05T21:18:00Z</dcterms:modified>
</cp:coreProperties>
</file>