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39" w:rsidRPr="0029137E" w:rsidRDefault="0029137E" w:rsidP="0029137E">
      <w:pPr>
        <w:jc w:val="right"/>
        <w:rPr>
          <w:rFonts w:asciiTheme="minorHAnsi" w:hAnsiTheme="minorHAnsi"/>
          <w:sz w:val="22"/>
          <w:szCs w:val="22"/>
        </w:rPr>
      </w:pPr>
      <w:r w:rsidRPr="0029137E">
        <w:rPr>
          <w:rFonts w:asciiTheme="minorHAnsi" w:hAnsiTheme="minorHAnsi"/>
          <w:noProof/>
        </w:rPr>
        <w:drawing>
          <wp:anchor distT="0" distB="0" distL="114300" distR="114300" simplePos="0" relativeHeight="251658240" behindDoc="0" locked="0" layoutInCell="1" allowOverlap="1" wp14:anchorId="630A9E7A" wp14:editId="296E9E1D">
            <wp:simplePos x="0" y="0"/>
            <wp:positionH relativeFrom="column">
              <wp:posOffset>0</wp:posOffset>
            </wp:positionH>
            <wp:positionV relativeFrom="paragraph">
              <wp:posOffset>0</wp:posOffset>
            </wp:positionV>
            <wp:extent cx="1838325" cy="2295525"/>
            <wp:effectExtent l="0" t="0" r="9525" b="9525"/>
            <wp:wrapSquare wrapText="bothSides"/>
            <wp:docPr id="4" name="Picture 4" descr="http://www.jblearning.com/covers/full/1284036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imgMainGraphic" descr="http://www.jblearning.com/covers/full/128403659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1F39" w:rsidRPr="0029137E">
        <w:rPr>
          <w:rFonts w:asciiTheme="minorHAnsi" w:hAnsiTheme="minorHAnsi"/>
          <w:noProof/>
        </w:rPr>
        <w:drawing>
          <wp:inline distT="0" distB="0" distL="0" distR="0" wp14:anchorId="13B498AD" wp14:editId="1251EC08">
            <wp:extent cx="18859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LRN_LOGO_JBLAs4c.jpg"/>
                    <pic:cNvPicPr/>
                  </pic:nvPicPr>
                  <pic:blipFill>
                    <a:blip r:embed="rId7">
                      <a:extLst>
                        <a:ext uri="{28A0092B-C50C-407E-A947-70E740481C1C}">
                          <a14:useLocalDpi xmlns:a14="http://schemas.microsoft.com/office/drawing/2010/main" val="0"/>
                        </a:ext>
                      </a:extLst>
                    </a:blip>
                    <a:stretch>
                      <a:fillRect/>
                    </a:stretch>
                  </pic:blipFill>
                  <pic:spPr>
                    <a:xfrm>
                      <a:off x="0" y="0"/>
                      <a:ext cx="1885950" cy="990600"/>
                    </a:xfrm>
                    <a:prstGeom prst="rect">
                      <a:avLst/>
                    </a:prstGeom>
                  </pic:spPr>
                </pic:pic>
              </a:graphicData>
            </a:graphic>
          </wp:inline>
        </w:drawing>
      </w:r>
      <w:r w:rsidR="00BC3D19" w:rsidRPr="0029137E">
        <w:rPr>
          <w:rFonts w:asciiTheme="minorHAnsi" w:hAnsiTheme="minorHAnsi"/>
          <w:sz w:val="22"/>
          <w:szCs w:val="22"/>
        </w:rPr>
        <w:br/>
      </w:r>
    </w:p>
    <w:p w:rsidR="00BC3D19" w:rsidRPr="0029137E" w:rsidRDefault="00BC3D19" w:rsidP="005E1F39">
      <w:pPr>
        <w:jc w:val="right"/>
        <w:rPr>
          <w:rFonts w:asciiTheme="minorHAnsi" w:hAnsiTheme="minorHAnsi"/>
          <w:sz w:val="22"/>
          <w:szCs w:val="22"/>
        </w:rPr>
      </w:pPr>
      <w:r w:rsidRPr="0029137E">
        <w:rPr>
          <w:rFonts w:asciiTheme="minorHAnsi" w:hAnsiTheme="minorHAnsi"/>
          <w:sz w:val="22"/>
          <w:szCs w:val="22"/>
        </w:rPr>
        <w:t xml:space="preserve"> </w:t>
      </w:r>
    </w:p>
    <w:p w:rsidR="005E1F39" w:rsidRPr="0029137E" w:rsidRDefault="0029137E" w:rsidP="0029137E">
      <w:pPr>
        <w:jc w:val="center"/>
        <w:rPr>
          <w:rFonts w:asciiTheme="minorHAnsi" w:hAnsiTheme="minorHAnsi"/>
          <w:sz w:val="44"/>
          <w:szCs w:val="44"/>
        </w:rPr>
      </w:pPr>
      <w:r w:rsidRPr="0029137E">
        <w:rPr>
          <w:rFonts w:asciiTheme="minorHAnsi" w:hAnsiTheme="minorHAnsi"/>
          <w:sz w:val="40"/>
          <w:szCs w:val="40"/>
        </w:rPr>
        <w:t>An Introduction to Community Public Health</w:t>
      </w:r>
      <w:r w:rsidRPr="0029137E">
        <w:rPr>
          <w:rFonts w:asciiTheme="minorHAnsi" w:hAnsiTheme="minorHAnsi"/>
          <w:sz w:val="44"/>
          <w:szCs w:val="44"/>
        </w:rPr>
        <w:br/>
        <w:t xml:space="preserve"> Eighth</w:t>
      </w:r>
      <w:r w:rsidR="005E1F39" w:rsidRPr="0029137E">
        <w:rPr>
          <w:rFonts w:asciiTheme="minorHAnsi" w:hAnsiTheme="minorHAnsi"/>
          <w:sz w:val="44"/>
          <w:szCs w:val="44"/>
        </w:rPr>
        <w:t xml:space="preserve"> Edition</w:t>
      </w:r>
      <w:r w:rsidR="000A2BB7" w:rsidRPr="0029137E">
        <w:rPr>
          <w:rFonts w:asciiTheme="minorHAnsi" w:hAnsiTheme="minorHAnsi"/>
          <w:sz w:val="44"/>
          <w:szCs w:val="44"/>
        </w:rPr>
        <w:t xml:space="preserve"> -- </w:t>
      </w:r>
      <w:r w:rsidR="005E1F39" w:rsidRPr="0029137E">
        <w:rPr>
          <w:rFonts w:asciiTheme="minorHAnsi" w:hAnsiTheme="minorHAnsi"/>
          <w:sz w:val="44"/>
          <w:szCs w:val="44"/>
        </w:rPr>
        <w:t>Transition Guide</w:t>
      </w:r>
    </w:p>
    <w:p w:rsidR="00BC3D19" w:rsidRPr="0029137E" w:rsidRDefault="005E1F39" w:rsidP="00BC3D19">
      <w:pPr>
        <w:rPr>
          <w:rFonts w:asciiTheme="minorHAnsi" w:hAnsiTheme="minorHAnsi"/>
          <w:sz w:val="22"/>
          <w:szCs w:val="22"/>
        </w:rPr>
      </w:pPr>
      <w:r w:rsidRPr="0029137E">
        <w:rPr>
          <w:rFonts w:asciiTheme="minorHAnsi" w:hAnsiTheme="minorHAnsi"/>
          <w:sz w:val="22"/>
          <w:szCs w:val="22"/>
        </w:rPr>
        <w:br/>
      </w:r>
    </w:p>
    <w:p w:rsidR="0029137E" w:rsidRPr="0029137E" w:rsidRDefault="0029137E" w:rsidP="00BC3D19">
      <w:pPr>
        <w:rPr>
          <w:rFonts w:asciiTheme="minorHAnsi" w:hAnsiTheme="minorHAnsi"/>
          <w:sz w:val="22"/>
          <w:szCs w:val="22"/>
        </w:rPr>
      </w:pPr>
    </w:p>
    <w:p w:rsidR="00BC3D19" w:rsidRPr="0029137E" w:rsidRDefault="005E1F39" w:rsidP="009A3A23">
      <w:pPr>
        <w:rPr>
          <w:rFonts w:asciiTheme="minorHAnsi" w:hAnsiTheme="minorHAnsi"/>
          <w:sz w:val="22"/>
          <w:szCs w:val="22"/>
        </w:rPr>
      </w:pPr>
      <w:r w:rsidRPr="0029137E">
        <w:rPr>
          <w:rFonts w:asciiTheme="minorHAnsi" w:hAnsiTheme="minorHAnsi"/>
          <w:sz w:val="22"/>
          <w:szCs w:val="22"/>
        </w:rPr>
        <w:t xml:space="preserve">By </w:t>
      </w:r>
      <w:r w:rsidR="0029137E" w:rsidRPr="0029137E">
        <w:rPr>
          <w:rFonts w:asciiTheme="minorHAnsi" w:hAnsiTheme="minorHAnsi"/>
          <w:sz w:val="22"/>
          <w:szCs w:val="22"/>
        </w:rPr>
        <w:t xml:space="preserve">James F. McKenzie &amp; Robert R. </w:t>
      </w:r>
      <w:proofErr w:type="spellStart"/>
      <w:r w:rsidR="0029137E" w:rsidRPr="0029137E">
        <w:rPr>
          <w:rFonts w:asciiTheme="minorHAnsi" w:hAnsiTheme="minorHAnsi"/>
          <w:sz w:val="22"/>
          <w:szCs w:val="22"/>
        </w:rPr>
        <w:t>Pinger</w:t>
      </w:r>
      <w:proofErr w:type="spellEnd"/>
      <w:r w:rsidR="0029137E" w:rsidRPr="0029137E">
        <w:rPr>
          <w:rFonts w:asciiTheme="minorHAnsi" w:hAnsiTheme="minorHAnsi"/>
          <w:sz w:val="22"/>
          <w:szCs w:val="22"/>
        </w:rPr>
        <w:br/>
        <w:t>ISBN-13: 978-1-284-03659-6</w:t>
      </w:r>
      <w:r w:rsidRPr="0029137E">
        <w:rPr>
          <w:rFonts w:asciiTheme="minorHAnsi" w:hAnsiTheme="minorHAnsi"/>
          <w:sz w:val="22"/>
          <w:szCs w:val="22"/>
        </w:rPr>
        <w:br/>
      </w:r>
      <w:r w:rsidR="0029137E" w:rsidRPr="0029137E">
        <w:rPr>
          <w:rFonts w:asciiTheme="minorHAnsi" w:hAnsiTheme="minorHAnsi"/>
          <w:sz w:val="22"/>
          <w:szCs w:val="22"/>
        </w:rPr>
        <w:t>Paperback with Access Code • 650</w:t>
      </w:r>
      <w:r w:rsidR="000A2BB7" w:rsidRPr="0029137E">
        <w:rPr>
          <w:rFonts w:asciiTheme="minorHAnsi" w:hAnsiTheme="minorHAnsi"/>
          <w:sz w:val="22"/>
          <w:szCs w:val="22"/>
        </w:rPr>
        <w:t xml:space="preserve"> Pages • ©2015</w:t>
      </w:r>
    </w:p>
    <w:p w:rsidR="009A3A23" w:rsidRPr="0029137E" w:rsidRDefault="00BC3D19" w:rsidP="00BC3D19">
      <w:pPr>
        <w:rPr>
          <w:rFonts w:asciiTheme="minorHAnsi" w:hAnsiTheme="minorHAnsi" w:cs="Arial"/>
          <w:b/>
          <w:sz w:val="22"/>
          <w:szCs w:val="22"/>
        </w:rPr>
      </w:pPr>
      <w:r w:rsidRPr="0029137E">
        <w:rPr>
          <w:rFonts w:asciiTheme="minorHAnsi" w:hAnsiTheme="minorHAnsi"/>
          <w:sz w:val="22"/>
          <w:szCs w:val="22"/>
        </w:rPr>
        <w:br/>
      </w:r>
    </w:p>
    <w:p w:rsidR="00BC3D19" w:rsidRPr="0029137E" w:rsidRDefault="00BC3D19" w:rsidP="00BC3D19">
      <w:pPr>
        <w:rPr>
          <w:rFonts w:asciiTheme="minorHAnsi" w:hAnsiTheme="minorHAnsi" w:cs="Arial"/>
          <w:b/>
          <w:sz w:val="22"/>
          <w:szCs w:val="22"/>
          <w:u w:val="single"/>
        </w:rPr>
      </w:pPr>
      <w:r w:rsidRPr="0029137E">
        <w:rPr>
          <w:rFonts w:asciiTheme="minorHAnsi" w:hAnsiTheme="minorHAnsi" w:cs="Arial"/>
          <w:b/>
          <w:sz w:val="22"/>
          <w:szCs w:val="22"/>
          <w:u w:val="single"/>
        </w:rPr>
        <w:t>Main Updates</w:t>
      </w:r>
      <w:r w:rsidR="000A2BB7" w:rsidRPr="0029137E">
        <w:rPr>
          <w:rFonts w:asciiTheme="minorHAnsi" w:hAnsiTheme="minorHAnsi" w:cs="Arial"/>
          <w:b/>
          <w:sz w:val="22"/>
          <w:szCs w:val="22"/>
          <w:u w:val="single"/>
        </w:rPr>
        <w:br/>
      </w:r>
    </w:p>
    <w:p w:rsidR="00BC3D19" w:rsidRPr="0029137E" w:rsidRDefault="0029137E" w:rsidP="000A2BB7">
      <w:pPr>
        <w:numPr>
          <w:ilvl w:val="0"/>
          <w:numId w:val="1"/>
        </w:numPr>
        <w:rPr>
          <w:rFonts w:asciiTheme="minorHAnsi" w:hAnsiTheme="minorHAnsi" w:cs="Arial"/>
          <w:sz w:val="22"/>
          <w:szCs w:val="22"/>
        </w:rPr>
      </w:pPr>
      <w:r w:rsidRPr="0029137E">
        <w:rPr>
          <w:rFonts w:asciiTheme="minorHAnsi" w:hAnsiTheme="minorHAnsi" w:cs="Arial"/>
          <w:sz w:val="22"/>
          <w:szCs w:val="22"/>
        </w:rPr>
        <w:t>A new full color design and art program provides a modern, fresh look</w:t>
      </w:r>
    </w:p>
    <w:p w:rsidR="000A2BB7" w:rsidRPr="0029137E" w:rsidRDefault="0029137E" w:rsidP="000A2BB7">
      <w:pPr>
        <w:numPr>
          <w:ilvl w:val="0"/>
          <w:numId w:val="1"/>
        </w:numPr>
        <w:rPr>
          <w:rFonts w:asciiTheme="minorHAnsi" w:hAnsiTheme="minorHAnsi" w:cs="Arial"/>
          <w:sz w:val="22"/>
          <w:szCs w:val="22"/>
        </w:rPr>
      </w:pPr>
      <w:r w:rsidRPr="0029137E">
        <w:rPr>
          <w:rFonts w:asciiTheme="minorHAnsi" w:hAnsiTheme="minorHAnsi" w:cs="Arial"/>
          <w:sz w:val="22"/>
          <w:szCs w:val="22"/>
        </w:rPr>
        <w:t>Includes new section on the Great Public Health Achievements, 2000-2010</w:t>
      </w:r>
    </w:p>
    <w:p w:rsidR="00BC3D19" w:rsidRPr="0029137E" w:rsidRDefault="0029137E" w:rsidP="000A2BB7">
      <w:pPr>
        <w:numPr>
          <w:ilvl w:val="0"/>
          <w:numId w:val="1"/>
        </w:numPr>
        <w:rPr>
          <w:rFonts w:asciiTheme="minorHAnsi" w:hAnsiTheme="minorHAnsi" w:cs="Arial"/>
          <w:sz w:val="22"/>
          <w:szCs w:val="22"/>
        </w:rPr>
      </w:pPr>
      <w:r w:rsidRPr="0029137E">
        <w:rPr>
          <w:rFonts w:asciiTheme="minorHAnsi" w:hAnsiTheme="minorHAnsi" w:cs="Arial"/>
          <w:sz w:val="22"/>
          <w:szCs w:val="22"/>
        </w:rPr>
        <w:t>A fully revised chapter on Health Care Policy provides students with the latest data in this changing field</w:t>
      </w:r>
    </w:p>
    <w:p w:rsidR="00BC3D19" w:rsidRPr="0029137E" w:rsidRDefault="0029137E" w:rsidP="000A2BB7">
      <w:pPr>
        <w:numPr>
          <w:ilvl w:val="0"/>
          <w:numId w:val="1"/>
        </w:numPr>
        <w:rPr>
          <w:rFonts w:asciiTheme="minorHAnsi" w:hAnsiTheme="minorHAnsi" w:cs="Arial"/>
          <w:sz w:val="22"/>
          <w:szCs w:val="22"/>
        </w:rPr>
      </w:pPr>
      <w:r w:rsidRPr="0029137E">
        <w:rPr>
          <w:rFonts w:asciiTheme="minorHAnsi" w:hAnsiTheme="minorHAnsi" w:cs="Arial"/>
          <w:i/>
          <w:sz w:val="22"/>
          <w:szCs w:val="22"/>
        </w:rPr>
        <w:t xml:space="preserve">Includes the latest updates related to Healthy People 2020, ADA, and </w:t>
      </w:r>
      <w:proofErr w:type="spellStart"/>
      <w:r w:rsidRPr="0029137E">
        <w:rPr>
          <w:rFonts w:asciiTheme="minorHAnsi" w:hAnsiTheme="minorHAnsi" w:cs="Arial"/>
          <w:i/>
          <w:sz w:val="22"/>
          <w:szCs w:val="22"/>
        </w:rPr>
        <w:t>MyPlate</w:t>
      </w:r>
      <w:proofErr w:type="spellEnd"/>
    </w:p>
    <w:p w:rsidR="0029137E" w:rsidRPr="0029137E" w:rsidRDefault="0029137E" w:rsidP="0029137E">
      <w:pPr>
        <w:numPr>
          <w:ilvl w:val="0"/>
          <w:numId w:val="1"/>
        </w:numPr>
        <w:spacing w:before="100" w:beforeAutospacing="1" w:after="100" w:afterAutospacing="1"/>
        <w:rPr>
          <w:rFonts w:asciiTheme="minorHAnsi" w:hAnsiTheme="minorHAnsi"/>
        </w:rPr>
      </w:pPr>
      <w:r w:rsidRPr="0029137E">
        <w:rPr>
          <w:rFonts w:asciiTheme="minorHAnsi" w:hAnsiTheme="minorHAnsi"/>
        </w:rPr>
        <w:t>Each chapter includes a short scenario that helps students relate chapter content to their everyday lives, identifies key ideas in the chapter, and highlights learning objectives</w:t>
      </w:r>
    </w:p>
    <w:p w:rsidR="0029137E" w:rsidRPr="0029137E" w:rsidRDefault="0029137E" w:rsidP="0029137E">
      <w:pPr>
        <w:numPr>
          <w:ilvl w:val="0"/>
          <w:numId w:val="1"/>
        </w:numPr>
        <w:spacing w:before="100" w:beforeAutospacing="1" w:after="100" w:afterAutospacing="1"/>
        <w:rPr>
          <w:rFonts w:asciiTheme="minorHAnsi" w:hAnsiTheme="minorHAnsi"/>
        </w:rPr>
      </w:pPr>
      <w:r w:rsidRPr="0029137E">
        <w:rPr>
          <w:rFonts w:asciiTheme="minorHAnsi" w:hAnsiTheme="minorHAnsi"/>
        </w:rPr>
        <w:t>Key terms are placed in boldfaced type and defined both in the margins of the text and in the glossary</w:t>
      </w:r>
    </w:p>
    <w:p w:rsidR="0029137E" w:rsidRPr="0029137E" w:rsidRDefault="0029137E" w:rsidP="0029137E">
      <w:pPr>
        <w:numPr>
          <w:ilvl w:val="0"/>
          <w:numId w:val="1"/>
        </w:numPr>
        <w:spacing w:before="100" w:beforeAutospacing="1" w:after="100" w:afterAutospacing="1"/>
        <w:rPr>
          <w:rFonts w:asciiTheme="minorHAnsi" w:hAnsiTheme="minorHAnsi"/>
        </w:rPr>
      </w:pPr>
      <w:r w:rsidRPr="0029137E">
        <w:rPr>
          <w:rFonts w:asciiTheme="minorHAnsi" w:hAnsiTheme="minorHAnsi"/>
        </w:rPr>
        <w:t>Web activities encourage students to further explore content by visiting relevant community/public health websites</w:t>
      </w:r>
    </w:p>
    <w:p w:rsidR="0029137E" w:rsidRPr="0029137E" w:rsidRDefault="0029137E" w:rsidP="0029137E">
      <w:pPr>
        <w:numPr>
          <w:ilvl w:val="0"/>
          <w:numId w:val="1"/>
        </w:numPr>
        <w:rPr>
          <w:rFonts w:asciiTheme="minorHAnsi" w:hAnsiTheme="minorHAnsi" w:cs="Arial"/>
          <w:sz w:val="22"/>
          <w:szCs w:val="22"/>
        </w:rPr>
      </w:pPr>
      <w:r w:rsidRPr="0029137E">
        <w:rPr>
          <w:rFonts w:asciiTheme="minorHAnsi" w:hAnsiTheme="minorHAnsi"/>
        </w:rPr>
        <w:t>Suggested activities help students apply what they have learned in the text or research it further</w:t>
      </w:r>
    </w:p>
    <w:p w:rsidR="000A2BB7" w:rsidRPr="0029137E" w:rsidRDefault="000A2BB7" w:rsidP="00BC3D19">
      <w:pPr>
        <w:rPr>
          <w:rFonts w:asciiTheme="minorHAnsi" w:hAnsiTheme="minorHAnsi" w:cs="Arial"/>
          <w:sz w:val="22"/>
          <w:szCs w:val="22"/>
        </w:rPr>
      </w:pPr>
    </w:p>
    <w:p w:rsidR="0029137E" w:rsidRPr="0029137E" w:rsidRDefault="0029137E" w:rsidP="0029137E">
      <w:pPr>
        <w:spacing w:before="100" w:beforeAutospacing="1" w:after="100" w:afterAutospacing="1"/>
        <w:rPr>
          <w:rFonts w:asciiTheme="minorHAnsi" w:hAnsiTheme="minorHAnsi"/>
          <w:b/>
          <w:color w:val="548DD4" w:themeColor="text2" w:themeTint="99"/>
          <w:sz w:val="32"/>
          <w:szCs w:val="32"/>
        </w:rPr>
      </w:pPr>
      <w:r w:rsidRPr="0029137E">
        <w:rPr>
          <w:rFonts w:asciiTheme="minorHAnsi" w:hAnsiTheme="minorHAnsi"/>
          <w:b/>
          <w:color w:val="548DD4" w:themeColor="text2" w:themeTint="99"/>
          <w:sz w:val="32"/>
          <w:szCs w:val="32"/>
        </w:rPr>
        <w:t>New to This Edition:</w:t>
      </w:r>
    </w:p>
    <w:p w:rsidR="0029137E" w:rsidRPr="0029137E" w:rsidRDefault="0029137E" w:rsidP="0029137E">
      <w:pPr>
        <w:pStyle w:val="ListParagraph"/>
        <w:numPr>
          <w:ilvl w:val="0"/>
          <w:numId w:val="9"/>
        </w:numPr>
        <w:spacing w:before="100" w:beforeAutospacing="1" w:after="100" w:afterAutospacing="1"/>
        <w:rPr>
          <w:rFonts w:asciiTheme="minorHAnsi" w:hAnsiTheme="minorHAnsi"/>
          <w:b/>
        </w:rPr>
      </w:pPr>
      <w:r w:rsidRPr="0029137E">
        <w:rPr>
          <w:rFonts w:asciiTheme="minorHAnsi" w:hAnsiTheme="minorHAnsi"/>
          <w:b/>
        </w:rPr>
        <w:t>Chapter 1</w:t>
      </w:r>
      <w:r w:rsidRPr="0029137E">
        <w:rPr>
          <w:rFonts w:asciiTheme="minorHAnsi" w:hAnsiTheme="minorHAnsi"/>
        </w:rPr>
        <w:t xml:space="preserve"> includes new information about the United States’ National Prevention Strategy. Information about the World Health Organization that previously appeared in Chapter1 has been moved to </w:t>
      </w:r>
      <w:r w:rsidRPr="0029137E">
        <w:rPr>
          <w:rFonts w:asciiTheme="minorHAnsi" w:hAnsiTheme="minorHAnsi"/>
          <w:b/>
        </w:rPr>
        <w:t>Chapter 2</w:t>
      </w:r>
      <w:r w:rsidRPr="0029137E">
        <w:rPr>
          <w:rFonts w:asciiTheme="minorHAnsi" w:hAnsiTheme="minorHAnsi"/>
        </w:rPr>
        <w:t>.</w:t>
      </w:r>
    </w:p>
    <w:p w:rsidR="0029137E" w:rsidRPr="0029137E" w:rsidRDefault="0029137E" w:rsidP="0029137E">
      <w:pPr>
        <w:pStyle w:val="ListParagraph"/>
        <w:numPr>
          <w:ilvl w:val="0"/>
          <w:numId w:val="9"/>
        </w:numPr>
        <w:spacing w:before="100" w:beforeAutospacing="1" w:after="100" w:afterAutospacing="1"/>
        <w:rPr>
          <w:rFonts w:asciiTheme="minorHAnsi" w:hAnsiTheme="minorHAnsi"/>
          <w:b/>
        </w:rPr>
      </w:pPr>
      <w:r w:rsidRPr="0029137E">
        <w:rPr>
          <w:rFonts w:asciiTheme="minorHAnsi" w:hAnsiTheme="minorHAnsi"/>
          <w:b/>
        </w:rPr>
        <w:t>Chapters 3</w:t>
      </w:r>
      <w:r w:rsidRPr="0029137E">
        <w:rPr>
          <w:rFonts w:asciiTheme="minorHAnsi" w:hAnsiTheme="minorHAnsi"/>
        </w:rPr>
        <w:t xml:space="preserve"> </w:t>
      </w:r>
      <w:r w:rsidRPr="0029137E">
        <w:rPr>
          <w:rFonts w:asciiTheme="minorHAnsi" w:hAnsiTheme="minorHAnsi"/>
          <w:b/>
        </w:rPr>
        <w:t>and</w:t>
      </w:r>
      <w:r w:rsidRPr="0029137E">
        <w:rPr>
          <w:rFonts w:asciiTheme="minorHAnsi" w:hAnsiTheme="minorHAnsi"/>
        </w:rPr>
        <w:t xml:space="preserve"> </w:t>
      </w:r>
      <w:r w:rsidRPr="0029137E">
        <w:rPr>
          <w:rFonts w:asciiTheme="minorHAnsi" w:hAnsiTheme="minorHAnsi"/>
          <w:b/>
        </w:rPr>
        <w:t>4</w:t>
      </w:r>
      <w:r w:rsidRPr="0029137E">
        <w:rPr>
          <w:rFonts w:asciiTheme="minorHAnsi" w:hAnsiTheme="minorHAnsi"/>
        </w:rPr>
        <w:t xml:space="preserve"> include updated information, data, and examples, including a new list of notifiable diseases.  </w:t>
      </w:r>
    </w:p>
    <w:p w:rsidR="0029137E" w:rsidRPr="0029137E" w:rsidRDefault="0029137E" w:rsidP="0029137E">
      <w:pPr>
        <w:pStyle w:val="ListParagraph"/>
        <w:numPr>
          <w:ilvl w:val="0"/>
          <w:numId w:val="9"/>
        </w:numPr>
        <w:spacing w:before="100" w:beforeAutospacing="1" w:after="100" w:afterAutospacing="1"/>
        <w:rPr>
          <w:rFonts w:asciiTheme="minorHAnsi" w:hAnsiTheme="minorHAnsi"/>
          <w:b/>
        </w:rPr>
      </w:pPr>
      <w:r w:rsidRPr="0029137E">
        <w:rPr>
          <w:rFonts w:asciiTheme="minorHAnsi" w:hAnsiTheme="minorHAnsi"/>
        </w:rPr>
        <w:t xml:space="preserve">In </w:t>
      </w:r>
      <w:r w:rsidRPr="0029137E">
        <w:rPr>
          <w:rFonts w:asciiTheme="minorHAnsi" w:hAnsiTheme="minorHAnsi"/>
          <w:b/>
        </w:rPr>
        <w:t>Chapter 3</w:t>
      </w:r>
      <w:r w:rsidRPr="0029137E">
        <w:rPr>
          <w:rFonts w:asciiTheme="minorHAnsi" w:hAnsiTheme="minorHAnsi"/>
        </w:rPr>
        <w:t xml:space="preserve"> information has been added about cross-sectional and retrospective cohort study designs.</w:t>
      </w:r>
    </w:p>
    <w:p w:rsidR="0029137E" w:rsidRPr="0029137E" w:rsidRDefault="0029137E" w:rsidP="0029137E">
      <w:pPr>
        <w:pStyle w:val="ListParagraph"/>
        <w:numPr>
          <w:ilvl w:val="0"/>
          <w:numId w:val="9"/>
        </w:numPr>
        <w:spacing w:before="100" w:beforeAutospacing="1" w:after="100" w:afterAutospacing="1"/>
        <w:rPr>
          <w:rFonts w:asciiTheme="minorHAnsi" w:hAnsiTheme="minorHAnsi"/>
          <w:b/>
        </w:rPr>
      </w:pPr>
      <w:r w:rsidRPr="0029137E">
        <w:rPr>
          <w:rFonts w:asciiTheme="minorHAnsi" w:hAnsiTheme="minorHAnsi"/>
        </w:rPr>
        <w:t xml:space="preserve">In </w:t>
      </w:r>
      <w:r w:rsidRPr="0029137E">
        <w:rPr>
          <w:rFonts w:asciiTheme="minorHAnsi" w:hAnsiTheme="minorHAnsi"/>
          <w:b/>
        </w:rPr>
        <w:t>Chapter 4</w:t>
      </w:r>
      <w:r w:rsidRPr="0029137E">
        <w:rPr>
          <w:rFonts w:asciiTheme="minorHAnsi" w:hAnsiTheme="minorHAnsi"/>
        </w:rPr>
        <w:t xml:space="preserve"> a new list of secondary data sources is included.</w:t>
      </w:r>
    </w:p>
    <w:p w:rsidR="0029137E" w:rsidRPr="0029137E" w:rsidRDefault="0029137E" w:rsidP="0029137E">
      <w:pPr>
        <w:pStyle w:val="ListParagraph"/>
        <w:numPr>
          <w:ilvl w:val="0"/>
          <w:numId w:val="9"/>
        </w:numPr>
        <w:spacing w:before="100" w:beforeAutospacing="1" w:after="100" w:afterAutospacing="1"/>
        <w:rPr>
          <w:rFonts w:asciiTheme="minorHAnsi" w:hAnsiTheme="minorHAnsi"/>
          <w:b/>
        </w:rPr>
      </w:pPr>
      <w:r w:rsidRPr="0029137E">
        <w:rPr>
          <w:rFonts w:asciiTheme="minorHAnsi" w:hAnsiTheme="minorHAnsi"/>
          <w:b/>
        </w:rPr>
        <w:t>Chapter 5</w:t>
      </w:r>
      <w:r w:rsidRPr="0029137E">
        <w:rPr>
          <w:rFonts w:asciiTheme="minorHAnsi" w:hAnsiTheme="minorHAnsi"/>
        </w:rPr>
        <w:t xml:space="preserve"> includes updated information on community organizing that includes a discussion about the differences among planning and policy, community capacity development, and social advocacy strategies.</w:t>
      </w:r>
    </w:p>
    <w:p w:rsidR="0029137E" w:rsidRPr="0029137E" w:rsidRDefault="0029137E" w:rsidP="0029137E">
      <w:pPr>
        <w:pStyle w:val="ListParagraph"/>
        <w:numPr>
          <w:ilvl w:val="0"/>
          <w:numId w:val="9"/>
        </w:numPr>
        <w:spacing w:before="100" w:beforeAutospacing="1" w:after="100" w:afterAutospacing="1"/>
        <w:rPr>
          <w:rFonts w:asciiTheme="minorHAnsi" w:hAnsiTheme="minorHAnsi"/>
          <w:b/>
        </w:rPr>
      </w:pPr>
      <w:r w:rsidRPr="0029137E">
        <w:rPr>
          <w:rFonts w:asciiTheme="minorHAnsi" w:hAnsiTheme="minorHAnsi"/>
          <w:b/>
        </w:rPr>
        <w:t>Chapter 6</w:t>
      </w:r>
      <w:r w:rsidRPr="0029137E">
        <w:rPr>
          <w:rFonts w:asciiTheme="minorHAnsi" w:hAnsiTheme="minorHAnsi"/>
        </w:rPr>
        <w:t>, on school health education, includes a number of updated definitions, as well as new information on the relationship between learning and healthy children, the latest information about school wellness polices, and an overview of the Center for Disease Control and Prevention’s Health Education Curriculum Analysis Tool (HECAT) for curriculum review and development.</w:t>
      </w:r>
    </w:p>
    <w:p w:rsidR="0029137E" w:rsidRPr="0029137E" w:rsidRDefault="0029137E" w:rsidP="0029137E">
      <w:pPr>
        <w:pStyle w:val="ListParagraph"/>
        <w:numPr>
          <w:ilvl w:val="0"/>
          <w:numId w:val="9"/>
        </w:numPr>
        <w:spacing w:before="100" w:beforeAutospacing="1" w:after="100" w:afterAutospacing="1"/>
        <w:rPr>
          <w:rFonts w:asciiTheme="minorHAnsi" w:hAnsiTheme="minorHAnsi"/>
          <w:b/>
        </w:rPr>
      </w:pPr>
      <w:r w:rsidRPr="0029137E">
        <w:rPr>
          <w:rFonts w:asciiTheme="minorHAnsi" w:hAnsiTheme="minorHAnsi"/>
          <w:b/>
        </w:rPr>
        <w:lastRenderedPageBreak/>
        <w:t>Chapter 7</w:t>
      </w:r>
      <w:r w:rsidRPr="0029137E">
        <w:rPr>
          <w:rFonts w:asciiTheme="minorHAnsi" w:hAnsiTheme="minorHAnsi"/>
        </w:rPr>
        <w:t xml:space="preserve"> has been thoroughly revised and updated. Some content has been reordered and additional information has been provided on preconception care, coverage of contraceptives, and the resulting increased access under the Affordable Care Act. </w:t>
      </w:r>
    </w:p>
    <w:p w:rsidR="0029137E" w:rsidRPr="0029137E" w:rsidRDefault="0029137E" w:rsidP="0029137E">
      <w:pPr>
        <w:pStyle w:val="ListParagraph"/>
        <w:numPr>
          <w:ilvl w:val="1"/>
          <w:numId w:val="9"/>
        </w:numPr>
        <w:spacing w:before="100" w:beforeAutospacing="1" w:after="100" w:afterAutospacing="1"/>
        <w:rPr>
          <w:rFonts w:asciiTheme="minorHAnsi" w:hAnsiTheme="minorHAnsi"/>
          <w:b/>
        </w:rPr>
      </w:pPr>
      <w:r w:rsidRPr="0029137E">
        <w:rPr>
          <w:rFonts w:asciiTheme="minorHAnsi" w:hAnsiTheme="minorHAnsi"/>
          <w:b/>
        </w:rPr>
        <w:t>Chapter 7</w:t>
      </w:r>
      <w:r w:rsidRPr="0029137E">
        <w:rPr>
          <w:rFonts w:asciiTheme="minorHAnsi" w:hAnsiTheme="minorHAnsi"/>
        </w:rPr>
        <w:t xml:space="preserve"> also includes new information regarding the relationship between the legality of abortion and abortion rates, causes of maternal deaths in developing countries, implications of delivering before 39 weeks, the trend for elective deliveries before 39 weeks and the implication of this practice, the Baby Friendly Hospital Initiative implemented by WHO and UNICEF, the importance of medical homes for children, and long term consequences of adverse childhood experiences like abuse and neglect.</w:t>
      </w:r>
    </w:p>
    <w:p w:rsidR="0029137E" w:rsidRPr="0029137E" w:rsidRDefault="0029137E" w:rsidP="0029137E">
      <w:pPr>
        <w:pStyle w:val="ListParagraph"/>
        <w:numPr>
          <w:ilvl w:val="0"/>
          <w:numId w:val="9"/>
        </w:numPr>
        <w:spacing w:before="100" w:beforeAutospacing="1" w:after="100" w:afterAutospacing="1"/>
        <w:rPr>
          <w:rFonts w:asciiTheme="minorHAnsi" w:hAnsiTheme="minorHAnsi"/>
          <w:b/>
        </w:rPr>
      </w:pPr>
      <w:r w:rsidRPr="0029137E">
        <w:rPr>
          <w:rFonts w:asciiTheme="minorHAnsi" w:hAnsiTheme="minorHAnsi"/>
          <w:b/>
        </w:rPr>
        <w:t>Chapter 8</w:t>
      </w:r>
      <w:r w:rsidRPr="0029137E">
        <w:rPr>
          <w:rFonts w:asciiTheme="minorHAnsi" w:hAnsiTheme="minorHAnsi"/>
        </w:rPr>
        <w:t xml:space="preserve"> includes new information on emerging issues for adolescents and young adults, such as the impact of the Affordable Care Act on these age groups, and the concept of “protective factors” is introduced. </w:t>
      </w:r>
    </w:p>
    <w:p w:rsidR="0029137E" w:rsidRPr="0029137E" w:rsidRDefault="0029137E" w:rsidP="0029137E">
      <w:pPr>
        <w:pStyle w:val="ListParagraph"/>
        <w:numPr>
          <w:ilvl w:val="1"/>
          <w:numId w:val="9"/>
        </w:numPr>
        <w:spacing w:before="100" w:beforeAutospacing="1" w:after="100" w:afterAutospacing="1"/>
        <w:rPr>
          <w:rFonts w:asciiTheme="minorHAnsi" w:hAnsiTheme="minorHAnsi"/>
          <w:b/>
        </w:rPr>
      </w:pPr>
      <w:r w:rsidRPr="0029137E">
        <w:rPr>
          <w:rFonts w:asciiTheme="minorHAnsi" w:hAnsiTheme="minorHAnsi"/>
        </w:rPr>
        <w:t xml:space="preserve">Also </w:t>
      </w:r>
      <w:r w:rsidRPr="0029137E">
        <w:rPr>
          <w:rFonts w:asciiTheme="minorHAnsi" w:hAnsiTheme="minorHAnsi"/>
          <w:b/>
        </w:rPr>
        <w:t>Chapter 8</w:t>
      </w:r>
      <w:r w:rsidRPr="0029137E">
        <w:rPr>
          <w:rFonts w:asciiTheme="minorHAnsi" w:hAnsiTheme="minorHAnsi"/>
        </w:rPr>
        <w:t xml:space="preserve"> includes an increased emphasis on the need to enhance the environment to support healthy lifestyles for all the age groups profiled in the chapter.</w:t>
      </w:r>
    </w:p>
    <w:p w:rsidR="0029137E" w:rsidRPr="0029137E" w:rsidRDefault="0029137E" w:rsidP="0029137E">
      <w:pPr>
        <w:pStyle w:val="ListParagraph"/>
        <w:numPr>
          <w:ilvl w:val="0"/>
          <w:numId w:val="9"/>
        </w:numPr>
        <w:spacing w:before="100" w:beforeAutospacing="1" w:after="100" w:afterAutospacing="1"/>
        <w:rPr>
          <w:rFonts w:asciiTheme="minorHAnsi" w:hAnsiTheme="minorHAnsi"/>
          <w:b/>
        </w:rPr>
      </w:pPr>
      <w:r w:rsidRPr="0029137E">
        <w:rPr>
          <w:rFonts w:asciiTheme="minorHAnsi" w:hAnsiTheme="minorHAnsi"/>
        </w:rPr>
        <w:t xml:space="preserve">In </w:t>
      </w:r>
      <w:r w:rsidRPr="0029137E">
        <w:rPr>
          <w:rFonts w:asciiTheme="minorHAnsi" w:hAnsiTheme="minorHAnsi"/>
          <w:b/>
        </w:rPr>
        <w:t>Chapter 9,</w:t>
      </w:r>
      <w:r w:rsidRPr="0029137E">
        <w:rPr>
          <w:rFonts w:asciiTheme="minorHAnsi" w:hAnsiTheme="minorHAnsi"/>
        </w:rPr>
        <w:t xml:space="preserve"> the content on health behavior and lifestyle choices has been </w:t>
      </w:r>
      <w:proofErr w:type="gramStart"/>
      <w:r w:rsidRPr="0029137E">
        <w:rPr>
          <w:rFonts w:asciiTheme="minorHAnsi" w:hAnsiTheme="minorHAnsi"/>
        </w:rPr>
        <w:t>restructured,</w:t>
      </w:r>
      <w:proofErr w:type="gramEnd"/>
      <w:r w:rsidRPr="0029137E">
        <w:rPr>
          <w:rFonts w:asciiTheme="minorHAnsi" w:hAnsiTheme="minorHAnsi"/>
        </w:rPr>
        <w:t xml:space="preserve"> the section on housing options for elders has been reorganized.</w:t>
      </w:r>
    </w:p>
    <w:p w:rsidR="0029137E" w:rsidRPr="0029137E" w:rsidRDefault="0029137E" w:rsidP="0029137E">
      <w:pPr>
        <w:pStyle w:val="ListParagraph"/>
        <w:numPr>
          <w:ilvl w:val="0"/>
          <w:numId w:val="9"/>
        </w:numPr>
        <w:spacing w:before="100" w:beforeAutospacing="1" w:after="100" w:afterAutospacing="1"/>
        <w:rPr>
          <w:rFonts w:asciiTheme="minorHAnsi" w:hAnsiTheme="minorHAnsi"/>
          <w:b/>
        </w:rPr>
      </w:pPr>
      <w:r w:rsidRPr="0029137E">
        <w:rPr>
          <w:rFonts w:asciiTheme="minorHAnsi" w:hAnsiTheme="minorHAnsi"/>
          <w:b/>
        </w:rPr>
        <w:t xml:space="preserve">Chapter </w:t>
      </w:r>
      <w:proofErr w:type="gramStart"/>
      <w:r w:rsidRPr="0029137E">
        <w:rPr>
          <w:rFonts w:asciiTheme="minorHAnsi" w:hAnsiTheme="minorHAnsi"/>
          <w:b/>
        </w:rPr>
        <w:t>10</w:t>
      </w:r>
      <w:r w:rsidRPr="0029137E">
        <w:rPr>
          <w:rFonts w:asciiTheme="minorHAnsi" w:hAnsiTheme="minorHAnsi"/>
        </w:rPr>
        <w:t>,</w:t>
      </w:r>
      <w:proofErr w:type="gramEnd"/>
      <w:r w:rsidRPr="0029137E">
        <w:rPr>
          <w:rFonts w:asciiTheme="minorHAnsi" w:hAnsiTheme="minorHAnsi"/>
        </w:rPr>
        <w:t xml:space="preserve"> has been revised to include expanded discussions on race and ethnicity, immigrant and refugee health, and health disparities.</w:t>
      </w:r>
    </w:p>
    <w:p w:rsidR="0029137E" w:rsidRPr="0029137E" w:rsidRDefault="0029137E" w:rsidP="0029137E">
      <w:pPr>
        <w:pStyle w:val="ListParagraph"/>
        <w:numPr>
          <w:ilvl w:val="0"/>
          <w:numId w:val="9"/>
        </w:numPr>
        <w:spacing w:before="100" w:beforeAutospacing="1" w:after="100" w:afterAutospacing="1"/>
        <w:rPr>
          <w:rFonts w:asciiTheme="minorHAnsi" w:hAnsiTheme="minorHAnsi"/>
          <w:b/>
        </w:rPr>
      </w:pPr>
      <w:r w:rsidRPr="0029137E">
        <w:rPr>
          <w:rFonts w:asciiTheme="minorHAnsi" w:hAnsiTheme="minorHAnsi"/>
        </w:rPr>
        <w:t xml:space="preserve">The revision of </w:t>
      </w:r>
      <w:r w:rsidRPr="0029137E">
        <w:rPr>
          <w:rFonts w:asciiTheme="minorHAnsi" w:hAnsiTheme="minorHAnsi"/>
          <w:b/>
        </w:rPr>
        <w:t>Chapter 11</w:t>
      </w:r>
      <w:r w:rsidRPr="0029137E">
        <w:rPr>
          <w:rFonts w:asciiTheme="minorHAnsi" w:hAnsiTheme="minorHAnsi"/>
        </w:rPr>
        <w:t xml:space="preserve"> includes a description of DSM-5, released in 2013.  DSM-5 is the 2013 update to the American Psychiatric Association's (APA) classification and diagnostic tool. It was last updated in 2000.</w:t>
      </w:r>
    </w:p>
    <w:p w:rsidR="0029137E" w:rsidRPr="0029137E" w:rsidRDefault="0029137E" w:rsidP="0029137E">
      <w:pPr>
        <w:pStyle w:val="ListParagraph"/>
        <w:numPr>
          <w:ilvl w:val="1"/>
          <w:numId w:val="9"/>
        </w:numPr>
        <w:spacing w:before="100" w:beforeAutospacing="1" w:after="100" w:afterAutospacing="1"/>
        <w:rPr>
          <w:rFonts w:asciiTheme="minorHAnsi" w:hAnsiTheme="minorHAnsi"/>
          <w:b/>
        </w:rPr>
      </w:pPr>
      <w:r w:rsidRPr="0029137E">
        <w:rPr>
          <w:rFonts w:asciiTheme="minorHAnsi" w:hAnsiTheme="minorHAnsi"/>
          <w:b/>
        </w:rPr>
        <w:t>Chapter 11</w:t>
      </w:r>
      <w:r w:rsidRPr="0029137E">
        <w:rPr>
          <w:rFonts w:asciiTheme="minorHAnsi" w:hAnsiTheme="minorHAnsi"/>
        </w:rPr>
        <w:t xml:space="preserve"> also includes a new section on mental illness and violence, and a discussion of what the Affordable Care Act might mean for mental health care.</w:t>
      </w:r>
    </w:p>
    <w:p w:rsidR="0029137E" w:rsidRPr="0029137E" w:rsidRDefault="0029137E" w:rsidP="0029137E">
      <w:pPr>
        <w:pStyle w:val="ListParagraph"/>
        <w:numPr>
          <w:ilvl w:val="0"/>
          <w:numId w:val="9"/>
        </w:numPr>
        <w:spacing w:before="100" w:beforeAutospacing="1" w:after="100" w:afterAutospacing="1"/>
        <w:rPr>
          <w:rFonts w:asciiTheme="minorHAnsi" w:hAnsiTheme="minorHAnsi"/>
          <w:b/>
        </w:rPr>
      </w:pPr>
      <w:r w:rsidRPr="0029137E">
        <w:rPr>
          <w:rFonts w:asciiTheme="minorHAnsi" w:hAnsiTheme="minorHAnsi"/>
          <w:b/>
        </w:rPr>
        <w:t>Chapter 12</w:t>
      </w:r>
      <w:r w:rsidRPr="0029137E">
        <w:rPr>
          <w:rFonts w:asciiTheme="minorHAnsi" w:hAnsiTheme="minorHAnsi"/>
        </w:rPr>
        <w:t xml:space="preserve"> features a new section on the emerging problem of synthetic marijuana abuse, and also provides an update on the major achievements in tobacco control in the past decade.</w:t>
      </w:r>
    </w:p>
    <w:p w:rsidR="0029137E" w:rsidRPr="0029137E" w:rsidRDefault="0029137E" w:rsidP="0029137E">
      <w:pPr>
        <w:pStyle w:val="ListParagraph"/>
        <w:numPr>
          <w:ilvl w:val="0"/>
          <w:numId w:val="9"/>
        </w:numPr>
        <w:spacing w:before="100" w:beforeAutospacing="1" w:after="100" w:afterAutospacing="1"/>
        <w:rPr>
          <w:rFonts w:asciiTheme="minorHAnsi" w:hAnsiTheme="minorHAnsi"/>
          <w:b/>
        </w:rPr>
      </w:pPr>
      <w:r w:rsidRPr="0029137E">
        <w:rPr>
          <w:rFonts w:asciiTheme="minorHAnsi" w:hAnsiTheme="minorHAnsi"/>
          <w:b/>
        </w:rPr>
        <w:t>Chapter 13</w:t>
      </w:r>
      <w:r w:rsidRPr="0029137E">
        <w:rPr>
          <w:rFonts w:asciiTheme="minorHAnsi" w:hAnsiTheme="minorHAnsi"/>
        </w:rPr>
        <w:t>, which combines the structure and function of health care delivery in the United States, includes an update of the Affordable Care Act.</w:t>
      </w:r>
    </w:p>
    <w:p w:rsidR="0029137E" w:rsidRPr="0029137E" w:rsidRDefault="0029137E" w:rsidP="0029137E">
      <w:pPr>
        <w:pStyle w:val="ListParagraph"/>
        <w:numPr>
          <w:ilvl w:val="0"/>
          <w:numId w:val="9"/>
        </w:numPr>
        <w:spacing w:before="100" w:beforeAutospacing="1" w:after="100" w:afterAutospacing="1"/>
        <w:rPr>
          <w:rFonts w:asciiTheme="minorHAnsi" w:hAnsiTheme="minorHAnsi"/>
          <w:b/>
        </w:rPr>
      </w:pPr>
      <w:r w:rsidRPr="0029137E">
        <w:rPr>
          <w:rFonts w:asciiTheme="minorHAnsi" w:hAnsiTheme="minorHAnsi"/>
        </w:rPr>
        <w:t xml:space="preserve">In </w:t>
      </w:r>
      <w:r w:rsidRPr="0029137E">
        <w:rPr>
          <w:rFonts w:asciiTheme="minorHAnsi" w:hAnsiTheme="minorHAnsi"/>
          <w:b/>
        </w:rPr>
        <w:t>Chapter 14</w:t>
      </w:r>
      <w:r w:rsidRPr="0029137E">
        <w:rPr>
          <w:rFonts w:asciiTheme="minorHAnsi" w:hAnsiTheme="minorHAnsi"/>
        </w:rPr>
        <w:t>, new</w:t>
      </w:r>
      <w:bookmarkStart w:id="0" w:name="_GoBack"/>
      <w:bookmarkEnd w:id="0"/>
      <w:r w:rsidRPr="0029137E">
        <w:rPr>
          <w:rFonts w:asciiTheme="minorHAnsi" w:hAnsiTheme="minorHAnsi"/>
        </w:rPr>
        <w:t xml:space="preserve"> examples of natural disasters have been inserted: Hurricane Sandy and the Great East Japan Earthquake and tsunami, which damaged the Fukushima </w:t>
      </w:r>
      <w:proofErr w:type="spellStart"/>
      <w:r w:rsidRPr="0029137E">
        <w:rPr>
          <w:rFonts w:asciiTheme="minorHAnsi" w:hAnsiTheme="minorHAnsi"/>
        </w:rPr>
        <w:t>Daichi</w:t>
      </w:r>
      <w:proofErr w:type="spellEnd"/>
      <w:r w:rsidRPr="0029137E">
        <w:rPr>
          <w:rFonts w:asciiTheme="minorHAnsi" w:hAnsiTheme="minorHAnsi"/>
        </w:rPr>
        <w:t xml:space="preserve"> nuclear power station.</w:t>
      </w:r>
    </w:p>
    <w:p w:rsidR="0029137E" w:rsidRPr="0029137E" w:rsidRDefault="0029137E" w:rsidP="0029137E">
      <w:pPr>
        <w:pStyle w:val="ListParagraph"/>
        <w:numPr>
          <w:ilvl w:val="0"/>
          <w:numId w:val="9"/>
        </w:numPr>
        <w:spacing w:before="100" w:beforeAutospacing="1" w:after="100" w:afterAutospacing="1"/>
        <w:rPr>
          <w:rFonts w:asciiTheme="minorHAnsi" w:hAnsiTheme="minorHAnsi"/>
          <w:b/>
        </w:rPr>
      </w:pPr>
      <w:r w:rsidRPr="0029137E">
        <w:rPr>
          <w:rFonts w:asciiTheme="minorHAnsi" w:hAnsiTheme="minorHAnsi"/>
        </w:rPr>
        <w:t xml:space="preserve">In </w:t>
      </w:r>
      <w:r w:rsidRPr="0029137E">
        <w:rPr>
          <w:rFonts w:asciiTheme="minorHAnsi" w:hAnsiTheme="minorHAnsi"/>
          <w:b/>
        </w:rPr>
        <w:t>Chapter 15</w:t>
      </w:r>
      <w:r w:rsidRPr="0029137E">
        <w:rPr>
          <w:rFonts w:asciiTheme="minorHAnsi" w:hAnsiTheme="minorHAnsi"/>
        </w:rPr>
        <w:t>, the introduction has been shortened, with some definitions moved further back in the text.</w:t>
      </w:r>
    </w:p>
    <w:p w:rsidR="0029137E" w:rsidRPr="0029137E" w:rsidRDefault="0029137E" w:rsidP="0029137E">
      <w:pPr>
        <w:pStyle w:val="ListParagraph"/>
        <w:numPr>
          <w:ilvl w:val="1"/>
          <w:numId w:val="9"/>
        </w:numPr>
        <w:spacing w:before="100" w:beforeAutospacing="1" w:after="100" w:afterAutospacing="1"/>
        <w:rPr>
          <w:rFonts w:asciiTheme="minorHAnsi" w:hAnsiTheme="minorHAnsi"/>
          <w:b/>
        </w:rPr>
      </w:pPr>
      <w:r w:rsidRPr="0029137E">
        <w:rPr>
          <w:rFonts w:asciiTheme="minorHAnsi" w:hAnsiTheme="minorHAnsi"/>
        </w:rPr>
        <w:t xml:space="preserve">Also in </w:t>
      </w:r>
      <w:r w:rsidRPr="0029137E">
        <w:rPr>
          <w:rFonts w:asciiTheme="minorHAnsi" w:hAnsiTheme="minorHAnsi"/>
          <w:b/>
        </w:rPr>
        <w:t>Chapter 15</w:t>
      </w:r>
      <w:r w:rsidRPr="0029137E">
        <w:rPr>
          <w:rFonts w:asciiTheme="minorHAnsi" w:hAnsiTheme="minorHAnsi"/>
        </w:rPr>
        <w:t xml:space="preserve"> the discussion of distracted driving, including texting and emailing while driving has been expanded. The discussion of firearms on college campuses has been updated and new definitions of intimate partner violence is introduced.</w:t>
      </w:r>
    </w:p>
    <w:p w:rsidR="00BC3D19" w:rsidRPr="0029137E" w:rsidRDefault="0029137E" w:rsidP="0029137E">
      <w:pPr>
        <w:pStyle w:val="ListParagraph"/>
        <w:ind w:left="1440"/>
        <w:rPr>
          <w:rFonts w:asciiTheme="minorHAnsi" w:hAnsiTheme="minorHAnsi" w:cs="Arial"/>
          <w:sz w:val="22"/>
          <w:szCs w:val="22"/>
        </w:rPr>
      </w:pPr>
      <w:r w:rsidRPr="0029137E">
        <w:rPr>
          <w:rFonts w:asciiTheme="minorHAnsi" w:hAnsiTheme="minorHAnsi"/>
          <w:b/>
        </w:rPr>
        <w:t>Chapter 16</w:t>
      </w:r>
      <w:r w:rsidRPr="0029137E">
        <w:rPr>
          <w:rFonts w:asciiTheme="minorHAnsi" w:hAnsiTheme="minorHAnsi"/>
        </w:rPr>
        <w:t xml:space="preserve"> has been updated with the most recent workplace injuries and illnesses data, and a new list of “The 10 Deadliest Jobs in America.”</w:t>
      </w:r>
      <w:r w:rsidRPr="0029137E">
        <w:rPr>
          <w:rFonts w:asciiTheme="minorHAnsi" w:hAnsiTheme="minorHAnsi"/>
        </w:rPr>
        <w:br/>
      </w:r>
    </w:p>
    <w:sectPr w:rsidR="00BC3D19" w:rsidRPr="0029137E" w:rsidSect="005E1F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63B"/>
    <w:multiLevelType w:val="hybridMultilevel"/>
    <w:tmpl w:val="B1548B80"/>
    <w:lvl w:ilvl="0" w:tplc="78781FA8">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55FB1"/>
    <w:multiLevelType w:val="hybridMultilevel"/>
    <w:tmpl w:val="0444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530E9"/>
    <w:multiLevelType w:val="hybridMultilevel"/>
    <w:tmpl w:val="0DB2D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33079"/>
    <w:multiLevelType w:val="hybridMultilevel"/>
    <w:tmpl w:val="98322D80"/>
    <w:lvl w:ilvl="0" w:tplc="6D6679FE">
      <w:start w:val="5"/>
      <w:numFmt w:val="bullet"/>
      <w:lvlText w:val="-"/>
      <w:lvlJc w:val="left"/>
      <w:pPr>
        <w:ind w:left="720" w:hanging="360"/>
      </w:pPr>
      <w:rPr>
        <w:rFonts w:ascii="Times New Roman" w:eastAsiaTheme="minorEastAsia" w:hAnsi="Times New Roman" w:cs="Times New Roman" w:hint="default"/>
        <w:b/>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A22BE"/>
    <w:multiLevelType w:val="multilevel"/>
    <w:tmpl w:val="17E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D44561"/>
    <w:multiLevelType w:val="hybridMultilevel"/>
    <w:tmpl w:val="BCAA4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213CC5"/>
    <w:multiLevelType w:val="hybridMultilevel"/>
    <w:tmpl w:val="19CC0E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466F531E"/>
    <w:multiLevelType w:val="hybridMultilevel"/>
    <w:tmpl w:val="D13EEE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01D7CFD"/>
    <w:multiLevelType w:val="hybridMultilevel"/>
    <w:tmpl w:val="F84068FA"/>
    <w:lvl w:ilvl="0" w:tplc="882C74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0"/>
  </w:num>
  <w:num w:numId="6">
    <w:abstractNumId w:val="8"/>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19"/>
    <w:rsid w:val="000A2BB7"/>
    <w:rsid w:val="001D6243"/>
    <w:rsid w:val="0029137E"/>
    <w:rsid w:val="00463C20"/>
    <w:rsid w:val="005E1F39"/>
    <w:rsid w:val="007652B4"/>
    <w:rsid w:val="00991570"/>
    <w:rsid w:val="009A3A23"/>
    <w:rsid w:val="00BC3D19"/>
    <w:rsid w:val="00D7740F"/>
    <w:rsid w:val="00F5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1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9157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C3D19"/>
    <w:rPr>
      <w:i/>
      <w:iCs/>
    </w:rPr>
  </w:style>
  <w:style w:type="table" w:styleId="TableGrid">
    <w:name w:val="Table Grid"/>
    <w:basedOn w:val="TableNormal"/>
    <w:rsid w:val="00BC3D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3D19"/>
    <w:rPr>
      <w:rFonts w:ascii="Tahoma" w:hAnsi="Tahoma" w:cs="Tahoma"/>
      <w:sz w:val="16"/>
      <w:szCs w:val="16"/>
    </w:rPr>
  </w:style>
  <w:style w:type="character" w:customStyle="1" w:styleId="BalloonTextChar">
    <w:name w:val="Balloon Text Char"/>
    <w:basedOn w:val="DefaultParagraphFont"/>
    <w:link w:val="BalloonText"/>
    <w:uiPriority w:val="99"/>
    <w:semiHidden/>
    <w:rsid w:val="00BC3D19"/>
    <w:rPr>
      <w:rFonts w:ascii="Tahoma" w:eastAsia="Times New Roman" w:hAnsi="Tahoma" w:cs="Tahoma"/>
      <w:sz w:val="16"/>
      <w:szCs w:val="16"/>
    </w:rPr>
  </w:style>
  <w:style w:type="paragraph" w:styleId="ListParagraph">
    <w:name w:val="List Paragraph"/>
    <w:basedOn w:val="Normal"/>
    <w:uiPriority w:val="34"/>
    <w:qFormat/>
    <w:rsid w:val="00BC3D19"/>
    <w:pPr>
      <w:ind w:left="720"/>
      <w:contextualSpacing/>
    </w:pPr>
  </w:style>
  <w:style w:type="character" w:customStyle="1" w:styleId="FT">
    <w:name w:val="FT"/>
    <w:uiPriority w:val="99"/>
    <w:rsid w:val="00BC3D19"/>
    <w:rPr>
      <w:b/>
    </w:rPr>
  </w:style>
  <w:style w:type="character" w:customStyle="1" w:styleId="apple-converted-space">
    <w:name w:val="apple-converted-space"/>
    <w:basedOn w:val="DefaultParagraphFont"/>
    <w:rsid w:val="00991570"/>
  </w:style>
  <w:style w:type="character" w:customStyle="1" w:styleId="Heading1Char">
    <w:name w:val="Heading 1 Char"/>
    <w:basedOn w:val="DefaultParagraphFont"/>
    <w:link w:val="Heading1"/>
    <w:uiPriority w:val="9"/>
    <w:rsid w:val="0099157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9137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1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9157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C3D19"/>
    <w:rPr>
      <w:i/>
      <w:iCs/>
    </w:rPr>
  </w:style>
  <w:style w:type="table" w:styleId="TableGrid">
    <w:name w:val="Table Grid"/>
    <w:basedOn w:val="TableNormal"/>
    <w:rsid w:val="00BC3D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3D19"/>
    <w:rPr>
      <w:rFonts w:ascii="Tahoma" w:hAnsi="Tahoma" w:cs="Tahoma"/>
      <w:sz w:val="16"/>
      <w:szCs w:val="16"/>
    </w:rPr>
  </w:style>
  <w:style w:type="character" w:customStyle="1" w:styleId="BalloonTextChar">
    <w:name w:val="Balloon Text Char"/>
    <w:basedOn w:val="DefaultParagraphFont"/>
    <w:link w:val="BalloonText"/>
    <w:uiPriority w:val="99"/>
    <w:semiHidden/>
    <w:rsid w:val="00BC3D19"/>
    <w:rPr>
      <w:rFonts w:ascii="Tahoma" w:eastAsia="Times New Roman" w:hAnsi="Tahoma" w:cs="Tahoma"/>
      <w:sz w:val="16"/>
      <w:szCs w:val="16"/>
    </w:rPr>
  </w:style>
  <w:style w:type="paragraph" w:styleId="ListParagraph">
    <w:name w:val="List Paragraph"/>
    <w:basedOn w:val="Normal"/>
    <w:uiPriority w:val="34"/>
    <w:qFormat/>
    <w:rsid w:val="00BC3D19"/>
    <w:pPr>
      <w:ind w:left="720"/>
      <w:contextualSpacing/>
    </w:pPr>
  </w:style>
  <w:style w:type="character" w:customStyle="1" w:styleId="FT">
    <w:name w:val="FT"/>
    <w:uiPriority w:val="99"/>
    <w:rsid w:val="00BC3D19"/>
    <w:rPr>
      <w:b/>
    </w:rPr>
  </w:style>
  <w:style w:type="character" w:customStyle="1" w:styleId="apple-converted-space">
    <w:name w:val="apple-converted-space"/>
    <w:basedOn w:val="DefaultParagraphFont"/>
    <w:rsid w:val="00991570"/>
  </w:style>
  <w:style w:type="character" w:customStyle="1" w:styleId="Heading1Char">
    <w:name w:val="Heading 1 Char"/>
    <w:basedOn w:val="DefaultParagraphFont"/>
    <w:link w:val="Heading1"/>
    <w:uiPriority w:val="9"/>
    <w:rsid w:val="0099157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913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75582">
      <w:bodyDiv w:val="1"/>
      <w:marLeft w:val="0"/>
      <w:marRight w:val="0"/>
      <w:marTop w:val="0"/>
      <w:marBottom w:val="0"/>
      <w:divBdr>
        <w:top w:val="none" w:sz="0" w:space="0" w:color="auto"/>
        <w:left w:val="none" w:sz="0" w:space="0" w:color="auto"/>
        <w:bottom w:val="none" w:sz="0" w:space="0" w:color="auto"/>
        <w:right w:val="none" w:sz="0" w:space="0" w:color="auto"/>
      </w:divBdr>
    </w:div>
    <w:div w:id="127273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Palmer</dc:creator>
  <cp:lastModifiedBy>Andrea DeFronzo</cp:lastModifiedBy>
  <cp:revision>3</cp:revision>
  <dcterms:created xsi:type="dcterms:W3CDTF">2014-01-09T19:37:00Z</dcterms:created>
  <dcterms:modified xsi:type="dcterms:W3CDTF">2014-01-09T19:48:00Z</dcterms:modified>
</cp:coreProperties>
</file>